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6E7" w:rsidRDefault="009806E7" w:rsidP="00BD223D">
      <w:pPr>
        <w:rPr>
          <w:rFonts w:ascii="Calibri" w:hAnsi="Calibri"/>
          <w:b/>
          <w:sz w:val="32"/>
          <w:szCs w:val="22"/>
        </w:rPr>
      </w:pPr>
    </w:p>
    <w:p w:rsidR="009806E7" w:rsidRDefault="009806E7" w:rsidP="00BD223D">
      <w:pPr>
        <w:rPr>
          <w:rFonts w:ascii="Calibri" w:hAnsi="Calibri"/>
          <w:b/>
          <w:sz w:val="32"/>
          <w:szCs w:val="22"/>
        </w:rPr>
      </w:pPr>
    </w:p>
    <w:p w:rsidR="009806E7" w:rsidRDefault="009806E7" w:rsidP="00BD223D">
      <w:pPr>
        <w:rPr>
          <w:rFonts w:ascii="Calibri" w:hAnsi="Calibri"/>
          <w:b/>
          <w:sz w:val="32"/>
          <w:szCs w:val="22"/>
        </w:rPr>
      </w:pPr>
    </w:p>
    <w:p w:rsidR="009806E7" w:rsidRDefault="009806E7" w:rsidP="00BD223D">
      <w:pPr>
        <w:rPr>
          <w:rFonts w:ascii="Calibri" w:hAnsi="Calibri"/>
          <w:b/>
          <w:sz w:val="32"/>
          <w:szCs w:val="22"/>
        </w:rPr>
      </w:pPr>
      <w:r>
        <w:rPr>
          <w:rFonts w:ascii="Calibri" w:hAnsi="Calibri"/>
          <w:b/>
          <w:sz w:val="32"/>
          <w:szCs w:val="22"/>
        </w:rPr>
        <w:t>JAG accreditation scheme</w:t>
      </w:r>
    </w:p>
    <w:p w:rsidR="009806E7" w:rsidRPr="00D05BBC" w:rsidRDefault="009806E7" w:rsidP="00BD223D">
      <w:pPr>
        <w:rPr>
          <w:rFonts w:ascii="Calibri" w:hAnsi="Calibri"/>
          <w:b/>
          <w:sz w:val="32"/>
          <w:szCs w:val="22"/>
        </w:rPr>
      </w:pPr>
      <w:r>
        <w:rPr>
          <w:rFonts w:ascii="Calibri" w:hAnsi="Calibri"/>
          <w:b/>
          <w:sz w:val="32"/>
          <w:szCs w:val="22"/>
        </w:rPr>
        <w:t>JAG briefing 18/02:</w:t>
      </w:r>
      <w:r w:rsidRPr="00D05BBC">
        <w:rPr>
          <w:rFonts w:ascii="Calibri" w:hAnsi="Calibri"/>
          <w:b/>
          <w:sz w:val="32"/>
          <w:szCs w:val="22"/>
        </w:rPr>
        <w:t xml:space="preserve"> </w:t>
      </w:r>
      <w:r>
        <w:rPr>
          <w:rFonts w:ascii="Calibri" w:hAnsi="Calibri"/>
          <w:b/>
          <w:sz w:val="32"/>
          <w:szCs w:val="22"/>
        </w:rPr>
        <w:t>JAG accreditation and the National Endoscopy Database (NED)</w:t>
      </w:r>
    </w:p>
    <w:p w:rsidR="009806E7" w:rsidRPr="00D05BBC" w:rsidRDefault="009806E7" w:rsidP="00BD223D">
      <w:pPr>
        <w:rPr>
          <w:rFonts w:ascii="Calibri" w:hAnsi="Calibri"/>
          <w:sz w:val="22"/>
          <w:szCs w:val="22"/>
        </w:rPr>
      </w:pPr>
    </w:p>
    <w:p w:rsidR="009806E7" w:rsidRPr="000C5F82" w:rsidRDefault="009806E7" w:rsidP="00BD223D">
      <w:pPr>
        <w:tabs>
          <w:tab w:val="left" w:pos="1985"/>
        </w:tabs>
        <w:rPr>
          <w:rFonts w:ascii="Calibri" w:hAnsi="Calibri"/>
          <w:sz w:val="22"/>
          <w:szCs w:val="22"/>
        </w:rPr>
      </w:pPr>
      <w:r w:rsidRPr="000C5F82">
        <w:rPr>
          <w:rFonts w:ascii="Calibri" w:hAnsi="Calibri"/>
          <w:b/>
          <w:sz w:val="22"/>
          <w:szCs w:val="22"/>
        </w:rPr>
        <w:t>Audience</w:t>
      </w:r>
      <w:r w:rsidRPr="00D05BBC">
        <w:rPr>
          <w:rFonts w:ascii="Calibri" w:hAnsi="Calibri"/>
          <w:sz w:val="22"/>
          <w:szCs w:val="22"/>
        </w:rPr>
        <w:t>:</w:t>
      </w:r>
      <w:r w:rsidRPr="00D05BBC">
        <w:rPr>
          <w:rFonts w:ascii="Calibri" w:hAnsi="Calibri"/>
          <w:sz w:val="22"/>
          <w:szCs w:val="22"/>
        </w:rPr>
        <w:tab/>
      </w:r>
      <w:r w:rsidR="00BD223D">
        <w:rPr>
          <w:rFonts w:ascii="Calibri" w:hAnsi="Calibri"/>
          <w:sz w:val="22"/>
          <w:szCs w:val="22"/>
        </w:rPr>
        <w:t>UK</w:t>
      </w:r>
      <w:r w:rsidRPr="00D05BBC">
        <w:rPr>
          <w:rFonts w:ascii="Calibri" w:hAnsi="Calibri"/>
          <w:sz w:val="22"/>
          <w:szCs w:val="22"/>
        </w:rPr>
        <w:t xml:space="preserve"> endoscopy services</w:t>
      </w:r>
      <w:r>
        <w:rPr>
          <w:rFonts w:ascii="Calibri" w:hAnsi="Calibri"/>
          <w:sz w:val="22"/>
          <w:szCs w:val="22"/>
        </w:rPr>
        <w:br/>
      </w:r>
      <w:r w:rsidRPr="000C5F82">
        <w:rPr>
          <w:rFonts w:ascii="Calibri" w:hAnsi="Calibri"/>
          <w:b/>
          <w:sz w:val="22"/>
          <w:szCs w:val="22"/>
        </w:rPr>
        <w:t>Date issued:</w:t>
      </w:r>
      <w:r w:rsidRPr="000C5F82">
        <w:rPr>
          <w:rFonts w:ascii="Calibri" w:hAnsi="Calibri"/>
          <w:b/>
          <w:sz w:val="22"/>
          <w:szCs w:val="22"/>
        </w:rPr>
        <w:tab/>
      </w:r>
      <w:r>
        <w:rPr>
          <w:rFonts w:ascii="Calibri" w:hAnsi="Calibri"/>
          <w:sz w:val="22"/>
          <w:szCs w:val="22"/>
        </w:rPr>
        <w:t>January 2018</w:t>
      </w:r>
      <w:r>
        <w:rPr>
          <w:rFonts w:ascii="Calibri" w:hAnsi="Calibri"/>
          <w:sz w:val="22"/>
          <w:szCs w:val="22"/>
        </w:rPr>
        <w:br/>
      </w:r>
      <w:r w:rsidRPr="00725643">
        <w:rPr>
          <w:rFonts w:ascii="Calibri" w:hAnsi="Calibri"/>
          <w:b/>
          <w:sz w:val="22"/>
          <w:szCs w:val="22"/>
        </w:rPr>
        <w:t>Review date:</w:t>
      </w:r>
      <w:r>
        <w:rPr>
          <w:rFonts w:ascii="Calibri" w:hAnsi="Calibri"/>
          <w:sz w:val="22"/>
          <w:szCs w:val="22"/>
        </w:rPr>
        <w:tab/>
        <w:t>January 2019</w:t>
      </w:r>
      <w:r>
        <w:rPr>
          <w:rFonts w:ascii="Calibri" w:hAnsi="Calibri"/>
          <w:sz w:val="22"/>
          <w:szCs w:val="22"/>
        </w:rPr>
        <w:br/>
      </w:r>
      <w:r w:rsidRPr="000C5F82">
        <w:rPr>
          <w:rFonts w:ascii="Calibri" w:hAnsi="Calibri"/>
          <w:b/>
          <w:sz w:val="22"/>
          <w:szCs w:val="22"/>
        </w:rPr>
        <w:t>Standards relevant</w:t>
      </w:r>
      <w:r>
        <w:rPr>
          <w:rFonts w:ascii="Calibri" w:hAnsi="Calibri"/>
          <w:sz w:val="22"/>
          <w:szCs w:val="22"/>
        </w:rPr>
        <w:t xml:space="preserve">: </w:t>
      </w:r>
      <w:r>
        <w:rPr>
          <w:rFonts w:ascii="Calibri" w:hAnsi="Calibri"/>
          <w:sz w:val="22"/>
          <w:szCs w:val="22"/>
        </w:rPr>
        <w:tab/>
        <w:t>NA</w:t>
      </w:r>
    </w:p>
    <w:p w:rsidR="009806E7" w:rsidRPr="00BD223D" w:rsidRDefault="009806E7" w:rsidP="00BD223D">
      <w:pPr>
        <w:spacing w:after="120"/>
        <w:rPr>
          <w:rFonts w:ascii="Calibri" w:hAnsi="Calibri"/>
          <w:b/>
          <w:sz w:val="22"/>
          <w:szCs w:val="22"/>
        </w:rPr>
      </w:pPr>
    </w:p>
    <w:p w:rsidR="009806E7" w:rsidRPr="006E224B" w:rsidRDefault="009806E7" w:rsidP="00BD2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Calibri" w:eastAsia="Batang" w:hAnsi="Calibri" w:cs="Arial"/>
          <w:b/>
          <w:sz w:val="22"/>
          <w:szCs w:val="22"/>
          <w:lang w:eastAsia="en-GB"/>
        </w:rPr>
      </w:pPr>
      <w:r w:rsidRPr="006E224B">
        <w:rPr>
          <w:rFonts w:ascii="Calibri" w:eastAsia="Batang" w:hAnsi="Calibri" w:cs="Arial"/>
          <w:b/>
          <w:sz w:val="22"/>
          <w:szCs w:val="22"/>
          <w:lang w:eastAsia="en-GB"/>
        </w:rPr>
        <w:t>Introduction</w:t>
      </w:r>
    </w:p>
    <w:p w:rsidR="00BD223D" w:rsidRDefault="009806E7" w:rsidP="00BD2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Calibri" w:eastAsia="Batang" w:hAnsi="Calibri" w:cs="Arial"/>
          <w:sz w:val="22"/>
          <w:szCs w:val="22"/>
          <w:lang w:eastAsia="en-GB"/>
        </w:rPr>
      </w:pPr>
      <w:r w:rsidRPr="009806E7">
        <w:rPr>
          <w:rFonts w:ascii="Calibri" w:eastAsia="Batang" w:hAnsi="Calibri" w:cs="Arial"/>
          <w:sz w:val="22"/>
          <w:szCs w:val="22"/>
          <w:lang w:eastAsia="en-GB"/>
        </w:rPr>
        <w:t xml:space="preserve">The </w:t>
      </w:r>
      <w:r>
        <w:rPr>
          <w:rFonts w:ascii="Calibri" w:eastAsia="Batang" w:hAnsi="Calibri" w:cs="Arial"/>
          <w:sz w:val="22"/>
          <w:szCs w:val="22"/>
          <w:lang w:eastAsia="en-GB"/>
        </w:rPr>
        <w:t>N</w:t>
      </w:r>
      <w:r w:rsidRPr="009806E7">
        <w:rPr>
          <w:rFonts w:ascii="Calibri" w:eastAsia="Batang" w:hAnsi="Calibri" w:cs="Arial"/>
          <w:sz w:val="22"/>
          <w:szCs w:val="22"/>
          <w:lang w:eastAsia="en-GB"/>
        </w:rPr>
        <w:t xml:space="preserve">ational </w:t>
      </w:r>
      <w:r>
        <w:rPr>
          <w:rFonts w:ascii="Calibri" w:eastAsia="Batang" w:hAnsi="Calibri" w:cs="Arial"/>
          <w:sz w:val="22"/>
          <w:szCs w:val="22"/>
          <w:lang w:eastAsia="en-GB"/>
        </w:rPr>
        <w:t>E</w:t>
      </w:r>
      <w:r w:rsidRPr="009806E7">
        <w:rPr>
          <w:rFonts w:ascii="Calibri" w:eastAsia="Batang" w:hAnsi="Calibri" w:cs="Arial"/>
          <w:sz w:val="22"/>
          <w:szCs w:val="22"/>
          <w:lang w:eastAsia="en-GB"/>
        </w:rPr>
        <w:t xml:space="preserve">ndoscopy </w:t>
      </w:r>
      <w:r>
        <w:rPr>
          <w:rFonts w:ascii="Calibri" w:eastAsia="Batang" w:hAnsi="Calibri" w:cs="Arial"/>
          <w:sz w:val="22"/>
          <w:szCs w:val="22"/>
          <w:lang w:eastAsia="en-GB"/>
        </w:rPr>
        <w:t>D</w:t>
      </w:r>
      <w:r w:rsidRPr="009806E7">
        <w:rPr>
          <w:rFonts w:ascii="Calibri" w:eastAsia="Batang" w:hAnsi="Calibri" w:cs="Arial"/>
          <w:sz w:val="22"/>
          <w:szCs w:val="22"/>
          <w:lang w:eastAsia="en-GB"/>
        </w:rPr>
        <w:t>atabase (NED) aims to automatically transfer data from endoscopy reporting systems (ERS) to a central database. All the major ERS manufacturers in the UK are cooperating with the project. This important initiative will support local governance, training, accredita</w:t>
      </w:r>
      <w:r w:rsidR="00AD14EE">
        <w:rPr>
          <w:rFonts w:ascii="Calibri" w:eastAsia="Batang" w:hAnsi="Calibri" w:cs="Arial"/>
          <w:sz w:val="22"/>
          <w:szCs w:val="22"/>
          <w:lang w:eastAsia="en-GB"/>
        </w:rPr>
        <w:t>tion of services and research.</w:t>
      </w:r>
    </w:p>
    <w:p w:rsidR="00BD223D" w:rsidRPr="009806E7" w:rsidRDefault="00BD223D" w:rsidP="00BD2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Calibri" w:eastAsia="Batang" w:hAnsi="Calibri" w:cs="Arial"/>
          <w:sz w:val="22"/>
          <w:szCs w:val="22"/>
          <w:lang w:eastAsia="en-GB"/>
        </w:rPr>
      </w:pPr>
      <w:r w:rsidRPr="009806E7">
        <w:rPr>
          <w:rFonts w:ascii="Calibri" w:eastAsia="Batang" w:hAnsi="Calibri" w:cs="Arial"/>
          <w:sz w:val="22"/>
          <w:szCs w:val="22"/>
          <w:lang w:eastAsia="en-GB"/>
        </w:rPr>
        <w:t xml:space="preserve">It is anticipated that most reporting systems will be NED compatible from April 2018. </w:t>
      </w:r>
      <w:r w:rsidR="00CE7AF2">
        <w:rPr>
          <w:rFonts w:ascii="Calibri" w:eastAsia="Batang" w:hAnsi="Calibri" w:cs="Arial"/>
          <w:sz w:val="22"/>
          <w:szCs w:val="22"/>
          <w:lang w:eastAsia="en-GB"/>
        </w:rPr>
        <w:t>NHS s</w:t>
      </w:r>
      <w:r w:rsidRPr="009806E7">
        <w:rPr>
          <w:rFonts w:ascii="Calibri" w:eastAsia="Batang" w:hAnsi="Calibri" w:cs="Arial"/>
          <w:sz w:val="22"/>
          <w:szCs w:val="22"/>
          <w:lang w:eastAsia="en-GB"/>
        </w:rPr>
        <w:t>ervice</w:t>
      </w:r>
      <w:r w:rsidR="00785C8F">
        <w:rPr>
          <w:rFonts w:ascii="Calibri" w:eastAsia="Batang" w:hAnsi="Calibri" w:cs="Arial"/>
          <w:sz w:val="22"/>
          <w:szCs w:val="22"/>
          <w:lang w:eastAsia="en-GB"/>
        </w:rPr>
        <w:t>s</w:t>
      </w:r>
      <w:r w:rsidRPr="009806E7">
        <w:rPr>
          <w:rFonts w:ascii="Calibri" w:eastAsia="Batang" w:hAnsi="Calibri" w:cs="Arial"/>
          <w:sz w:val="22"/>
          <w:szCs w:val="22"/>
          <w:lang w:eastAsia="en-GB"/>
        </w:rPr>
        <w:t xml:space="preserve"> will need to ensure that NED is approved by their</w:t>
      </w:r>
      <w:r>
        <w:rPr>
          <w:rFonts w:ascii="Calibri" w:eastAsia="Batang" w:hAnsi="Calibri" w:cs="Arial"/>
          <w:sz w:val="22"/>
          <w:szCs w:val="22"/>
          <w:lang w:eastAsia="en-GB"/>
        </w:rPr>
        <w:t xml:space="preserve"> </w:t>
      </w:r>
      <w:r w:rsidR="00B90DDB">
        <w:rPr>
          <w:rFonts w:ascii="Calibri" w:eastAsia="Batang" w:hAnsi="Calibri" w:cs="Arial"/>
          <w:sz w:val="22"/>
          <w:szCs w:val="22"/>
          <w:lang w:eastAsia="en-GB"/>
        </w:rPr>
        <w:t>t</w:t>
      </w:r>
      <w:r w:rsidRPr="009806E7">
        <w:rPr>
          <w:rFonts w:ascii="Calibri" w:eastAsia="Batang" w:hAnsi="Calibri" w:cs="Arial"/>
          <w:sz w:val="22"/>
          <w:szCs w:val="22"/>
          <w:lang w:eastAsia="en-GB"/>
        </w:rPr>
        <w:t xml:space="preserve">rust </w:t>
      </w:r>
      <w:proofErr w:type="spellStart"/>
      <w:r w:rsidRPr="009806E7">
        <w:rPr>
          <w:rFonts w:ascii="Calibri" w:eastAsia="Batang" w:hAnsi="Calibri" w:cs="Arial"/>
          <w:sz w:val="22"/>
          <w:szCs w:val="22"/>
          <w:lang w:eastAsia="en-GB"/>
        </w:rPr>
        <w:t>Caldicott</w:t>
      </w:r>
      <w:proofErr w:type="spellEnd"/>
      <w:r w:rsidRPr="009806E7">
        <w:rPr>
          <w:rFonts w:ascii="Calibri" w:eastAsia="Batang" w:hAnsi="Calibri" w:cs="Arial"/>
          <w:sz w:val="22"/>
          <w:szCs w:val="22"/>
          <w:lang w:eastAsia="en-GB"/>
        </w:rPr>
        <w:t xml:space="preserve"> </w:t>
      </w:r>
      <w:r w:rsidR="00B90DDB">
        <w:rPr>
          <w:rFonts w:ascii="Calibri" w:eastAsia="Batang" w:hAnsi="Calibri" w:cs="Arial"/>
          <w:sz w:val="22"/>
          <w:szCs w:val="22"/>
          <w:lang w:eastAsia="en-GB"/>
        </w:rPr>
        <w:t>g</w:t>
      </w:r>
      <w:r w:rsidRPr="009806E7">
        <w:rPr>
          <w:rFonts w:ascii="Calibri" w:eastAsia="Batang" w:hAnsi="Calibri" w:cs="Arial"/>
          <w:sz w:val="22"/>
          <w:szCs w:val="22"/>
          <w:lang w:eastAsia="en-GB"/>
        </w:rPr>
        <w:t>uardian</w:t>
      </w:r>
      <w:r w:rsidR="00CE7AF2">
        <w:rPr>
          <w:rFonts w:ascii="Calibri" w:eastAsia="Batang" w:hAnsi="Calibri" w:cs="Arial"/>
          <w:sz w:val="22"/>
          <w:szCs w:val="22"/>
          <w:lang w:eastAsia="en-GB"/>
        </w:rPr>
        <w:t>, or the equivalent in the independent sector</w:t>
      </w:r>
      <w:r>
        <w:rPr>
          <w:rFonts w:ascii="Calibri" w:eastAsia="Batang" w:hAnsi="Calibri" w:cs="Arial"/>
          <w:sz w:val="22"/>
          <w:szCs w:val="22"/>
          <w:lang w:eastAsia="en-GB"/>
        </w:rPr>
        <w:t>, which</w:t>
      </w:r>
      <w:r w:rsidRPr="009806E7">
        <w:rPr>
          <w:rFonts w:ascii="Calibri" w:eastAsia="Batang" w:hAnsi="Calibri" w:cs="Arial"/>
          <w:sz w:val="22"/>
          <w:szCs w:val="22"/>
          <w:lang w:eastAsia="en-GB"/>
        </w:rPr>
        <w:t xml:space="preserve"> can ta</w:t>
      </w:r>
      <w:r>
        <w:rPr>
          <w:rFonts w:ascii="Calibri" w:eastAsia="Batang" w:hAnsi="Calibri" w:cs="Arial"/>
          <w:sz w:val="22"/>
          <w:szCs w:val="22"/>
          <w:lang w:eastAsia="en-GB"/>
        </w:rPr>
        <w:t>ke some time to obtain.</w:t>
      </w:r>
      <w:r w:rsidRPr="009806E7">
        <w:rPr>
          <w:rFonts w:ascii="Calibri" w:eastAsia="Batang" w:hAnsi="Calibri" w:cs="Arial"/>
          <w:sz w:val="22"/>
          <w:szCs w:val="22"/>
          <w:lang w:eastAsia="en-GB"/>
        </w:rPr>
        <w:t xml:space="preserve">  The outputs from NED need to be validated before th</w:t>
      </w:r>
      <w:r w:rsidR="00AD14EE">
        <w:rPr>
          <w:rFonts w:ascii="Calibri" w:eastAsia="Batang" w:hAnsi="Calibri" w:cs="Arial"/>
          <w:sz w:val="22"/>
          <w:szCs w:val="22"/>
          <w:lang w:eastAsia="en-GB"/>
        </w:rPr>
        <w:t>ey can be utilised as evidence.</w:t>
      </w:r>
    </w:p>
    <w:p w:rsidR="009806E7" w:rsidRDefault="009806E7" w:rsidP="00BD2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rPr>
          <w:rFonts w:ascii="Calibri" w:eastAsia="Batang" w:hAnsi="Calibri" w:cs="Arial"/>
          <w:b/>
          <w:sz w:val="22"/>
          <w:szCs w:val="22"/>
        </w:rPr>
      </w:pPr>
      <w:r w:rsidRPr="009806E7">
        <w:rPr>
          <w:rFonts w:ascii="Calibri" w:eastAsia="Batang" w:hAnsi="Calibri" w:cs="Arial"/>
          <w:sz w:val="22"/>
          <w:szCs w:val="22"/>
          <w:lang w:eastAsia="en-GB"/>
        </w:rPr>
        <w:t>JAG recognises that this is a complicated and ambitious project</w:t>
      </w:r>
      <w:r w:rsidR="00BD223D">
        <w:rPr>
          <w:rFonts w:ascii="Calibri" w:eastAsia="Batang" w:hAnsi="Calibri" w:cs="Arial"/>
          <w:sz w:val="22"/>
          <w:szCs w:val="22"/>
          <w:lang w:eastAsia="en-GB"/>
        </w:rPr>
        <w:t>. For the</w:t>
      </w:r>
      <w:r w:rsidRPr="009806E7">
        <w:rPr>
          <w:rFonts w:ascii="Calibri" w:eastAsia="Batang" w:hAnsi="Calibri" w:cs="Arial"/>
          <w:sz w:val="22"/>
          <w:szCs w:val="22"/>
          <w:lang w:eastAsia="en-GB"/>
        </w:rPr>
        <w:t xml:space="preserve"> first year</w:t>
      </w:r>
      <w:r w:rsidR="00BD223D">
        <w:rPr>
          <w:rFonts w:ascii="Calibri" w:eastAsia="Batang" w:hAnsi="Calibri" w:cs="Arial"/>
          <w:sz w:val="22"/>
          <w:szCs w:val="22"/>
          <w:lang w:eastAsia="en-GB"/>
        </w:rPr>
        <w:t>, JAG expects</w:t>
      </w:r>
      <w:r w:rsidRPr="009806E7">
        <w:rPr>
          <w:rFonts w:ascii="Calibri" w:eastAsia="Batang" w:hAnsi="Calibri" w:cs="Arial"/>
          <w:sz w:val="22"/>
          <w:szCs w:val="22"/>
          <w:lang w:eastAsia="en-GB"/>
        </w:rPr>
        <w:t xml:space="preserve"> there to be a lead in time before the outputs from NED can be fully used to support </w:t>
      </w:r>
      <w:r w:rsidR="00BD223D">
        <w:rPr>
          <w:rFonts w:ascii="Calibri" w:eastAsia="Batang" w:hAnsi="Calibri" w:cs="Arial"/>
          <w:sz w:val="22"/>
          <w:szCs w:val="22"/>
          <w:lang w:eastAsia="en-GB"/>
        </w:rPr>
        <w:t xml:space="preserve">accreditation </w:t>
      </w:r>
      <w:r w:rsidRPr="009806E7">
        <w:rPr>
          <w:rFonts w:ascii="Calibri" w:eastAsia="Batang" w:hAnsi="Calibri" w:cs="Arial"/>
          <w:sz w:val="22"/>
          <w:szCs w:val="22"/>
          <w:lang w:eastAsia="en-GB"/>
        </w:rPr>
        <w:t>assessments.</w:t>
      </w:r>
      <w:r w:rsidR="00BD223D">
        <w:rPr>
          <w:rFonts w:ascii="Calibri" w:eastAsia="Batang" w:hAnsi="Calibri" w:cs="Arial"/>
          <w:sz w:val="22"/>
          <w:szCs w:val="22"/>
          <w:lang w:eastAsia="en-GB"/>
        </w:rPr>
        <w:t xml:space="preserve"> </w:t>
      </w:r>
      <w:r w:rsidRPr="009806E7">
        <w:rPr>
          <w:rFonts w:ascii="Calibri" w:eastAsia="Batang" w:hAnsi="Calibri" w:cs="Arial"/>
          <w:sz w:val="22"/>
          <w:szCs w:val="22"/>
          <w:lang w:eastAsia="en-GB"/>
        </w:rPr>
        <w:t>JAG endorses all UK services to be part of NED but does not want to penalise where there are delays beyond their direct control.  As a result, JAG has agreed the following</w:t>
      </w:r>
      <w:r>
        <w:rPr>
          <w:rFonts w:ascii="Calibri" w:eastAsia="Batang" w:hAnsi="Calibri" w:cs="Arial"/>
          <w:sz w:val="22"/>
          <w:szCs w:val="22"/>
          <w:lang w:eastAsia="en-GB"/>
        </w:rPr>
        <w:t xml:space="preserve"> policy.</w:t>
      </w:r>
    </w:p>
    <w:p w:rsidR="009806E7" w:rsidRPr="006E224B" w:rsidRDefault="009806E7" w:rsidP="00BD2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Batang" w:hAnsi="Calibri" w:cs="Arial"/>
          <w:b/>
          <w:sz w:val="22"/>
          <w:szCs w:val="22"/>
        </w:rPr>
      </w:pPr>
      <w:r>
        <w:rPr>
          <w:rFonts w:ascii="Calibri" w:eastAsia="Batang" w:hAnsi="Calibri" w:cs="Arial"/>
          <w:b/>
          <w:sz w:val="22"/>
          <w:szCs w:val="22"/>
        </w:rPr>
        <w:t>Global Rating Scale (GRS)</w:t>
      </w:r>
    </w:p>
    <w:p w:rsidR="009806E7" w:rsidRDefault="009806E7" w:rsidP="00BD223D">
      <w:pPr>
        <w:rPr>
          <w:rFonts w:asciiTheme="minorHAnsi" w:hAnsiTheme="minorHAnsi"/>
          <w:sz w:val="22"/>
          <w:szCs w:val="22"/>
        </w:rPr>
      </w:pPr>
      <w:r w:rsidRPr="009806E7">
        <w:rPr>
          <w:rFonts w:asciiTheme="minorHAnsi" w:hAnsiTheme="minorHAnsi"/>
          <w:sz w:val="22"/>
          <w:szCs w:val="22"/>
        </w:rPr>
        <w:t xml:space="preserve">All </w:t>
      </w:r>
      <w:r>
        <w:rPr>
          <w:rFonts w:asciiTheme="minorHAnsi" w:hAnsiTheme="minorHAnsi"/>
          <w:sz w:val="22"/>
          <w:szCs w:val="22"/>
        </w:rPr>
        <w:t>s</w:t>
      </w:r>
      <w:r w:rsidRPr="009806E7">
        <w:rPr>
          <w:rFonts w:asciiTheme="minorHAnsi" w:hAnsiTheme="minorHAnsi"/>
          <w:sz w:val="22"/>
          <w:szCs w:val="22"/>
        </w:rPr>
        <w:t xml:space="preserve">ervices are expected to achieve a level B in all domains to be eligible for an accreditation </w:t>
      </w:r>
      <w:r>
        <w:rPr>
          <w:rFonts w:asciiTheme="minorHAnsi" w:hAnsiTheme="minorHAnsi"/>
          <w:sz w:val="22"/>
          <w:szCs w:val="22"/>
        </w:rPr>
        <w:t>assessment</w:t>
      </w:r>
      <w:r w:rsidRPr="009806E7">
        <w:rPr>
          <w:rFonts w:asciiTheme="minorHAnsi" w:hAnsiTheme="minorHAnsi"/>
          <w:sz w:val="22"/>
          <w:szCs w:val="22"/>
        </w:rPr>
        <w:t>. In the Clinical Quality standards, measures 4.7 (level C) and 4.</w:t>
      </w:r>
      <w:r w:rsidR="00E95191">
        <w:rPr>
          <w:rFonts w:asciiTheme="minorHAnsi" w:hAnsiTheme="minorHAnsi"/>
          <w:sz w:val="22"/>
          <w:szCs w:val="22"/>
        </w:rPr>
        <w:t>1</w:t>
      </w:r>
      <w:r w:rsidRPr="009806E7">
        <w:rPr>
          <w:rFonts w:asciiTheme="minorHAnsi" w:hAnsiTheme="minorHAnsi"/>
          <w:sz w:val="22"/>
          <w:szCs w:val="22"/>
        </w:rPr>
        <w:t xml:space="preserve">0 (level B) are currently ‘greyed out’ following the GRS update in April 2016. </w:t>
      </w:r>
    </w:p>
    <w:p w:rsidR="009806E7" w:rsidRPr="009806E7" w:rsidRDefault="009806E7" w:rsidP="00BD223D">
      <w:pPr>
        <w:rPr>
          <w:rFonts w:asciiTheme="minorHAnsi" w:hAnsiTheme="minorHAnsi"/>
          <w:sz w:val="22"/>
          <w:szCs w:val="22"/>
        </w:rPr>
      </w:pPr>
    </w:p>
    <w:tbl>
      <w:tblPr>
        <w:tblStyle w:val="TableGrid"/>
        <w:tblW w:w="0" w:type="auto"/>
        <w:tblInd w:w="108" w:type="dxa"/>
        <w:tblLook w:val="04A0" w:firstRow="1" w:lastRow="0" w:firstColumn="1" w:lastColumn="0" w:noHBand="0" w:noVBand="1"/>
      </w:tblPr>
      <w:tblGrid>
        <w:gridCol w:w="993"/>
        <w:gridCol w:w="7915"/>
      </w:tblGrid>
      <w:tr w:rsidR="009806E7" w:rsidRPr="009806E7" w:rsidTr="009806E7">
        <w:trPr>
          <w:trHeight w:val="377"/>
        </w:trPr>
        <w:tc>
          <w:tcPr>
            <w:tcW w:w="993" w:type="dxa"/>
            <w:vAlign w:val="center"/>
          </w:tcPr>
          <w:p w:rsidR="009806E7" w:rsidRPr="009806E7" w:rsidRDefault="00616575" w:rsidP="00BD223D">
            <w:pPr>
              <w:rPr>
                <w:rFonts w:asciiTheme="minorHAnsi" w:hAnsiTheme="minorHAnsi"/>
                <w:b/>
                <w:sz w:val="22"/>
                <w:szCs w:val="22"/>
              </w:rPr>
            </w:pPr>
            <w:r>
              <w:rPr>
                <w:rFonts w:asciiTheme="minorHAnsi" w:hAnsiTheme="minorHAnsi"/>
                <w:b/>
                <w:sz w:val="22"/>
                <w:szCs w:val="22"/>
              </w:rPr>
              <w:t>No</w:t>
            </w:r>
            <w:bookmarkStart w:id="0" w:name="_GoBack"/>
            <w:bookmarkEnd w:id="0"/>
          </w:p>
        </w:tc>
        <w:tc>
          <w:tcPr>
            <w:tcW w:w="7915" w:type="dxa"/>
            <w:vAlign w:val="center"/>
          </w:tcPr>
          <w:p w:rsidR="009806E7" w:rsidRPr="009806E7" w:rsidRDefault="009806E7" w:rsidP="00BD223D">
            <w:pPr>
              <w:rPr>
                <w:rFonts w:asciiTheme="minorHAnsi" w:hAnsiTheme="minorHAnsi"/>
                <w:b/>
                <w:sz w:val="22"/>
                <w:szCs w:val="22"/>
              </w:rPr>
            </w:pPr>
            <w:r w:rsidRPr="009806E7">
              <w:rPr>
                <w:rFonts w:asciiTheme="minorHAnsi" w:hAnsiTheme="minorHAnsi"/>
                <w:b/>
                <w:sz w:val="22"/>
                <w:szCs w:val="22"/>
              </w:rPr>
              <w:t>Measure</w:t>
            </w:r>
          </w:p>
        </w:tc>
      </w:tr>
      <w:tr w:rsidR="009806E7" w:rsidRPr="009806E7" w:rsidTr="009806E7">
        <w:tc>
          <w:tcPr>
            <w:tcW w:w="993" w:type="dxa"/>
          </w:tcPr>
          <w:p w:rsidR="009806E7" w:rsidRPr="009806E7" w:rsidRDefault="009806E7" w:rsidP="00BD223D">
            <w:pPr>
              <w:rPr>
                <w:rFonts w:asciiTheme="minorHAnsi" w:hAnsiTheme="minorHAnsi"/>
                <w:sz w:val="22"/>
                <w:szCs w:val="22"/>
              </w:rPr>
            </w:pPr>
            <w:r w:rsidRPr="009806E7">
              <w:rPr>
                <w:rFonts w:asciiTheme="minorHAnsi" w:hAnsiTheme="minorHAnsi"/>
                <w:sz w:val="22"/>
                <w:szCs w:val="22"/>
              </w:rPr>
              <w:t>4.7</w:t>
            </w:r>
          </w:p>
        </w:tc>
        <w:tc>
          <w:tcPr>
            <w:tcW w:w="7915" w:type="dxa"/>
          </w:tcPr>
          <w:p w:rsidR="009806E7" w:rsidRPr="009806E7" w:rsidRDefault="009806E7" w:rsidP="00BD223D">
            <w:pPr>
              <w:rPr>
                <w:rFonts w:asciiTheme="minorHAnsi" w:hAnsiTheme="minorHAnsi"/>
                <w:sz w:val="22"/>
                <w:szCs w:val="22"/>
              </w:rPr>
            </w:pPr>
            <w:r w:rsidRPr="009806E7">
              <w:rPr>
                <w:rFonts w:asciiTheme="minorHAnsi" w:hAnsiTheme="minorHAnsi"/>
                <w:sz w:val="22"/>
                <w:szCs w:val="22"/>
              </w:rPr>
              <w:t>The ERS in your service has been configured to record data required by NED and to be able to upload data into NED and JAG Endoscopy Training System (JETS) e-portfolio.</w:t>
            </w:r>
          </w:p>
        </w:tc>
      </w:tr>
      <w:tr w:rsidR="009806E7" w:rsidRPr="009806E7" w:rsidTr="009806E7">
        <w:tc>
          <w:tcPr>
            <w:tcW w:w="993" w:type="dxa"/>
          </w:tcPr>
          <w:p w:rsidR="009806E7" w:rsidRPr="009806E7" w:rsidRDefault="009806E7" w:rsidP="00BD223D">
            <w:pPr>
              <w:rPr>
                <w:rFonts w:asciiTheme="minorHAnsi" w:hAnsiTheme="minorHAnsi"/>
                <w:sz w:val="22"/>
                <w:szCs w:val="22"/>
              </w:rPr>
            </w:pPr>
            <w:r w:rsidRPr="009806E7">
              <w:rPr>
                <w:rFonts w:asciiTheme="minorHAnsi" w:hAnsiTheme="minorHAnsi"/>
                <w:sz w:val="22"/>
                <w:szCs w:val="22"/>
              </w:rPr>
              <w:t>4.10</w:t>
            </w:r>
          </w:p>
        </w:tc>
        <w:tc>
          <w:tcPr>
            <w:tcW w:w="7915" w:type="dxa"/>
          </w:tcPr>
          <w:p w:rsidR="009806E7" w:rsidRPr="009806E7" w:rsidRDefault="009806E7" w:rsidP="00BD223D">
            <w:pPr>
              <w:rPr>
                <w:rFonts w:asciiTheme="minorHAnsi" w:hAnsiTheme="minorHAnsi"/>
                <w:sz w:val="22"/>
                <w:szCs w:val="22"/>
              </w:rPr>
            </w:pPr>
            <w:r w:rsidRPr="009806E7">
              <w:rPr>
                <w:rFonts w:asciiTheme="minorHAnsi" w:hAnsiTheme="minorHAnsi"/>
                <w:sz w:val="22"/>
                <w:szCs w:val="22"/>
              </w:rPr>
              <w:t>The ERS in your service is providing routine,</w:t>
            </w:r>
            <w:r>
              <w:rPr>
                <w:rFonts w:asciiTheme="minorHAnsi" w:hAnsiTheme="minorHAnsi"/>
                <w:sz w:val="22"/>
                <w:szCs w:val="22"/>
              </w:rPr>
              <w:t xml:space="preserve"> regular data uploads into </w:t>
            </w:r>
            <w:r w:rsidRPr="009806E7">
              <w:rPr>
                <w:rFonts w:asciiTheme="minorHAnsi" w:hAnsiTheme="minorHAnsi"/>
                <w:sz w:val="22"/>
                <w:szCs w:val="22"/>
              </w:rPr>
              <w:t>NED and JETS e-portfolio</w:t>
            </w:r>
            <w:r>
              <w:rPr>
                <w:rFonts w:asciiTheme="minorHAnsi" w:hAnsiTheme="minorHAnsi"/>
                <w:sz w:val="22"/>
                <w:szCs w:val="22"/>
              </w:rPr>
              <w:t>.</w:t>
            </w:r>
          </w:p>
        </w:tc>
      </w:tr>
    </w:tbl>
    <w:p w:rsidR="009806E7" w:rsidRPr="009806E7" w:rsidRDefault="009806E7" w:rsidP="00BD223D">
      <w:pPr>
        <w:rPr>
          <w:rFonts w:asciiTheme="minorHAnsi" w:hAnsiTheme="minorHAnsi"/>
          <w:sz w:val="22"/>
          <w:szCs w:val="22"/>
        </w:rPr>
      </w:pPr>
    </w:p>
    <w:p w:rsidR="009806E7" w:rsidRPr="009806E7" w:rsidRDefault="009806E7" w:rsidP="00BD223D">
      <w:pPr>
        <w:rPr>
          <w:rFonts w:asciiTheme="minorHAnsi" w:hAnsiTheme="minorHAnsi"/>
          <w:sz w:val="22"/>
          <w:szCs w:val="22"/>
        </w:rPr>
      </w:pPr>
      <w:r w:rsidRPr="009806E7">
        <w:rPr>
          <w:rFonts w:asciiTheme="minorHAnsi" w:hAnsiTheme="minorHAnsi"/>
          <w:sz w:val="22"/>
          <w:szCs w:val="22"/>
        </w:rPr>
        <w:t>These measures will ‘go live’ from April 2018 for all services. In the GRS return, services will be able to choose one of the</w:t>
      </w:r>
      <w:r w:rsidR="00BD223D">
        <w:rPr>
          <w:rFonts w:asciiTheme="minorHAnsi" w:hAnsiTheme="minorHAnsi"/>
          <w:sz w:val="22"/>
          <w:szCs w:val="22"/>
        </w:rPr>
        <w:t xml:space="preserve"> two options for both measures:</w:t>
      </w:r>
    </w:p>
    <w:p w:rsidR="009806E7" w:rsidRPr="009806E7" w:rsidRDefault="009806E7" w:rsidP="00BD223D">
      <w:pPr>
        <w:pStyle w:val="ListParagraph"/>
        <w:numPr>
          <w:ilvl w:val="0"/>
          <w:numId w:val="23"/>
        </w:numPr>
        <w:spacing w:after="160" w:line="259" w:lineRule="auto"/>
        <w:contextualSpacing/>
        <w:rPr>
          <w:rFonts w:asciiTheme="minorHAnsi" w:hAnsiTheme="minorHAnsi"/>
        </w:rPr>
      </w:pPr>
      <w:r w:rsidRPr="009806E7">
        <w:rPr>
          <w:rFonts w:asciiTheme="minorHAnsi" w:hAnsiTheme="minorHAnsi"/>
        </w:rPr>
        <w:t>Yes</w:t>
      </w:r>
    </w:p>
    <w:p w:rsidR="009806E7" w:rsidRPr="009806E7" w:rsidRDefault="009806E7" w:rsidP="00BD223D">
      <w:pPr>
        <w:pStyle w:val="ListParagraph"/>
        <w:numPr>
          <w:ilvl w:val="0"/>
          <w:numId w:val="23"/>
        </w:numPr>
        <w:spacing w:after="160" w:line="259" w:lineRule="auto"/>
        <w:contextualSpacing/>
        <w:rPr>
          <w:rFonts w:asciiTheme="minorHAnsi" w:hAnsiTheme="minorHAnsi"/>
        </w:rPr>
      </w:pPr>
      <w:r w:rsidRPr="009806E7">
        <w:rPr>
          <w:rFonts w:asciiTheme="minorHAnsi" w:hAnsiTheme="minorHAnsi"/>
        </w:rPr>
        <w:t>No (services will be asked to provide further information regarding the reasons why)</w:t>
      </w:r>
    </w:p>
    <w:p w:rsidR="00785C8F" w:rsidRDefault="00785C8F" w:rsidP="00BD223D">
      <w:pPr>
        <w:spacing w:after="160" w:line="259" w:lineRule="auto"/>
        <w:contextualSpacing/>
        <w:rPr>
          <w:rFonts w:asciiTheme="minorHAnsi" w:hAnsiTheme="minorHAnsi"/>
          <w:b/>
          <w:sz w:val="22"/>
          <w:szCs w:val="22"/>
        </w:rPr>
      </w:pPr>
    </w:p>
    <w:p w:rsidR="00785C8F" w:rsidRDefault="00785C8F" w:rsidP="00BD223D">
      <w:pPr>
        <w:spacing w:after="160" w:line="259" w:lineRule="auto"/>
        <w:contextualSpacing/>
        <w:rPr>
          <w:rFonts w:asciiTheme="minorHAnsi" w:hAnsiTheme="minorHAnsi"/>
          <w:b/>
          <w:sz w:val="22"/>
          <w:szCs w:val="22"/>
        </w:rPr>
      </w:pPr>
    </w:p>
    <w:p w:rsidR="00DA6545" w:rsidRDefault="00DA6545" w:rsidP="00BD223D">
      <w:pPr>
        <w:spacing w:after="160" w:line="259" w:lineRule="auto"/>
        <w:contextualSpacing/>
        <w:rPr>
          <w:rFonts w:asciiTheme="minorHAnsi" w:hAnsiTheme="minorHAnsi"/>
          <w:b/>
          <w:sz w:val="22"/>
          <w:szCs w:val="22"/>
        </w:rPr>
      </w:pPr>
    </w:p>
    <w:p w:rsidR="00DA6545" w:rsidRDefault="00DA6545" w:rsidP="00BD223D">
      <w:pPr>
        <w:spacing w:after="160" w:line="259" w:lineRule="auto"/>
        <w:contextualSpacing/>
        <w:rPr>
          <w:rFonts w:asciiTheme="minorHAnsi" w:hAnsiTheme="minorHAnsi"/>
          <w:b/>
          <w:sz w:val="22"/>
          <w:szCs w:val="22"/>
        </w:rPr>
      </w:pPr>
    </w:p>
    <w:p w:rsidR="009806E7" w:rsidRPr="009806E7" w:rsidRDefault="009806E7" w:rsidP="00BD223D">
      <w:pPr>
        <w:spacing w:after="160" w:line="259" w:lineRule="auto"/>
        <w:contextualSpacing/>
        <w:rPr>
          <w:rFonts w:asciiTheme="minorHAnsi" w:hAnsiTheme="minorHAnsi"/>
          <w:b/>
          <w:sz w:val="22"/>
          <w:szCs w:val="22"/>
        </w:rPr>
      </w:pPr>
      <w:r w:rsidRPr="009806E7">
        <w:rPr>
          <w:rFonts w:asciiTheme="minorHAnsi" w:hAnsiTheme="minorHAnsi"/>
          <w:b/>
          <w:sz w:val="22"/>
          <w:szCs w:val="22"/>
        </w:rPr>
        <w:lastRenderedPageBreak/>
        <w:t>JAG accreditation</w:t>
      </w:r>
    </w:p>
    <w:p w:rsidR="00EC794B" w:rsidRDefault="00785C8F" w:rsidP="00DA6545">
      <w:pPr>
        <w:spacing w:after="120"/>
        <w:rPr>
          <w:rFonts w:asciiTheme="minorHAnsi" w:hAnsiTheme="minorHAnsi"/>
          <w:sz w:val="22"/>
        </w:rPr>
      </w:pPr>
      <w:r w:rsidRPr="008F415B">
        <w:rPr>
          <w:rFonts w:asciiTheme="minorHAnsi" w:hAnsiTheme="minorHAnsi"/>
          <w:sz w:val="22"/>
        </w:rPr>
        <w:t>From April 201</w:t>
      </w:r>
      <w:r w:rsidR="00BE61F3">
        <w:rPr>
          <w:rFonts w:asciiTheme="minorHAnsi" w:hAnsiTheme="minorHAnsi"/>
          <w:sz w:val="22"/>
        </w:rPr>
        <w:t>8</w:t>
      </w:r>
      <w:r w:rsidRPr="008F415B">
        <w:rPr>
          <w:rFonts w:asciiTheme="minorHAnsi" w:hAnsiTheme="minorHAnsi"/>
          <w:sz w:val="22"/>
        </w:rPr>
        <w:t>, all services will be expected to be using NED</w:t>
      </w:r>
      <w:r w:rsidR="00DA6545">
        <w:rPr>
          <w:rFonts w:asciiTheme="minorHAnsi" w:hAnsiTheme="minorHAnsi"/>
          <w:sz w:val="22"/>
        </w:rPr>
        <w:t xml:space="preserve"> </w:t>
      </w:r>
      <w:r w:rsidR="00C83916">
        <w:rPr>
          <w:rFonts w:asciiTheme="minorHAnsi" w:hAnsiTheme="minorHAnsi"/>
          <w:sz w:val="22"/>
          <w:szCs w:val="22"/>
        </w:rPr>
        <w:t>and be compliant with measures 4.7 and 4.10</w:t>
      </w:r>
      <w:r w:rsidR="00C83916">
        <w:rPr>
          <w:rFonts w:asciiTheme="minorHAnsi" w:hAnsiTheme="minorHAnsi"/>
          <w:sz w:val="22"/>
        </w:rPr>
        <w:t xml:space="preserve">. </w:t>
      </w:r>
    </w:p>
    <w:p w:rsidR="00785C8F" w:rsidRDefault="00EC794B" w:rsidP="00DA6545">
      <w:pPr>
        <w:spacing w:after="120"/>
        <w:rPr>
          <w:rFonts w:asciiTheme="minorHAnsi" w:hAnsiTheme="minorHAnsi"/>
          <w:b/>
          <w:sz w:val="22"/>
        </w:rPr>
      </w:pPr>
      <w:r>
        <w:rPr>
          <w:rFonts w:asciiTheme="minorHAnsi" w:hAnsiTheme="minorHAnsi"/>
          <w:sz w:val="22"/>
        </w:rPr>
        <w:t>If an unaccredited s</w:t>
      </w:r>
      <w:r w:rsidR="00C83916">
        <w:rPr>
          <w:rFonts w:asciiTheme="minorHAnsi" w:hAnsiTheme="minorHAnsi"/>
          <w:sz w:val="22"/>
        </w:rPr>
        <w:t xml:space="preserve">ervice </w:t>
      </w:r>
      <w:r>
        <w:rPr>
          <w:rFonts w:asciiTheme="minorHAnsi" w:hAnsiTheme="minorHAnsi"/>
          <w:sz w:val="22"/>
        </w:rPr>
        <w:t>is</w:t>
      </w:r>
      <w:r w:rsidR="00C83916">
        <w:rPr>
          <w:rFonts w:asciiTheme="minorHAnsi" w:hAnsiTheme="minorHAnsi"/>
          <w:sz w:val="22"/>
        </w:rPr>
        <w:t xml:space="preserve"> not </w:t>
      </w:r>
      <w:r>
        <w:rPr>
          <w:rFonts w:asciiTheme="minorHAnsi" w:hAnsiTheme="minorHAnsi"/>
          <w:sz w:val="22"/>
        </w:rPr>
        <w:t>compliant by April 2018</w:t>
      </w:r>
      <w:r w:rsidR="00C83916">
        <w:rPr>
          <w:rFonts w:asciiTheme="minorHAnsi" w:hAnsiTheme="minorHAnsi"/>
          <w:sz w:val="22"/>
        </w:rPr>
        <w:t xml:space="preserve"> </w:t>
      </w:r>
      <w:r>
        <w:rPr>
          <w:rFonts w:asciiTheme="minorHAnsi" w:hAnsiTheme="minorHAnsi"/>
          <w:sz w:val="22"/>
        </w:rPr>
        <w:t xml:space="preserve">then they </w:t>
      </w:r>
      <w:r w:rsidR="00785C8F" w:rsidRPr="008F415B">
        <w:rPr>
          <w:rFonts w:asciiTheme="minorHAnsi" w:hAnsiTheme="minorHAnsi"/>
          <w:sz w:val="22"/>
        </w:rPr>
        <w:t>will not be eligible to have an assessment.</w:t>
      </w:r>
      <w:r w:rsidR="00BE61F3">
        <w:rPr>
          <w:rFonts w:asciiTheme="minorHAnsi" w:hAnsiTheme="minorHAnsi"/>
          <w:sz w:val="22"/>
        </w:rPr>
        <w:t xml:space="preserve"> </w:t>
      </w:r>
      <w:r w:rsidR="00DA6545">
        <w:rPr>
          <w:rFonts w:ascii="Calibri" w:eastAsia="Batang" w:hAnsi="Calibri" w:cs="Arial"/>
          <w:sz w:val="22"/>
          <w:szCs w:val="22"/>
        </w:rPr>
        <w:t xml:space="preserve">If a service has genuine mitigating circumstances as to why they are unable to use NED then this will be reviewed by the JAG </w:t>
      </w:r>
      <w:r w:rsidR="006F70AF">
        <w:rPr>
          <w:rFonts w:ascii="Calibri" w:eastAsia="Batang" w:hAnsi="Calibri" w:cs="Arial"/>
          <w:sz w:val="22"/>
          <w:szCs w:val="22"/>
        </w:rPr>
        <w:t>leadership team</w:t>
      </w:r>
      <w:r w:rsidR="00DA6545">
        <w:rPr>
          <w:rFonts w:ascii="Calibri" w:eastAsia="Batang" w:hAnsi="Calibri" w:cs="Arial"/>
          <w:sz w:val="22"/>
          <w:szCs w:val="22"/>
        </w:rPr>
        <w:t>.</w:t>
      </w:r>
      <w:r w:rsidR="00C83916" w:rsidRPr="00C83916">
        <w:rPr>
          <w:rFonts w:ascii="Calibri" w:eastAsia="Batang" w:hAnsi="Calibri" w:cs="Arial"/>
          <w:sz w:val="22"/>
          <w:szCs w:val="22"/>
        </w:rPr>
        <w:t xml:space="preserve"> </w:t>
      </w:r>
      <w:r>
        <w:rPr>
          <w:rFonts w:ascii="Calibri" w:eastAsia="Batang" w:hAnsi="Calibri" w:cs="Arial"/>
          <w:sz w:val="22"/>
          <w:szCs w:val="22"/>
        </w:rPr>
        <w:t xml:space="preserve">Services with genuine mitigating circumstances, such as reasons </w:t>
      </w:r>
      <w:r w:rsidR="00C83916">
        <w:rPr>
          <w:rFonts w:ascii="Calibri" w:eastAsia="Batang" w:hAnsi="Calibri" w:cs="Arial"/>
          <w:sz w:val="22"/>
          <w:szCs w:val="22"/>
        </w:rPr>
        <w:t>outside the control of the service or if the service has an agreed date to become compliant within the imminent future</w:t>
      </w:r>
      <w:r>
        <w:rPr>
          <w:rFonts w:ascii="Calibri" w:eastAsia="Batang" w:hAnsi="Calibri" w:cs="Arial"/>
          <w:sz w:val="22"/>
          <w:szCs w:val="22"/>
        </w:rPr>
        <w:t>, may be allowed to go forward for assessment</w:t>
      </w:r>
      <w:r w:rsidR="00C83916">
        <w:rPr>
          <w:rFonts w:ascii="Calibri" w:eastAsia="Batang" w:hAnsi="Calibri" w:cs="Arial"/>
          <w:sz w:val="22"/>
          <w:szCs w:val="22"/>
        </w:rPr>
        <w:t>.</w:t>
      </w:r>
    </w:p>
    <w:p w:rsidR="00BE61F3" w:rsidRDefault="006F70AF" w:rsidP="00AD14EE">
      <w:pPr>
        <w:spacing w:after="240"/>
        <w:rPr>
          <w:rFonts w:ascii="Calibri" w:eastAsia="Batang" w:hAnsi="Calibri" w:cs="Arial"/>
          <w:sz w:val="22"/>
          <w:szCs w:val="22"/>
        </w:rPr>
      </w:pPr>
      <w:r>
        <w:rPr>
          <w:rFonts w:asciiTheme="minorHAnsi" w:hAnsiTheme="minorHAnsi"/>
          <w:sz w:val="22"/>
          <w:szCs w:val="22"/>
        </w:rPr>
        <w:t>If a</w:t>
      </w:r>
      <w:r w:rsidR="00EC794B">
        <w:rPr>
          <w:rFonts w:asciiTheme="minorHAnsi" w:hAnsiTheme="minorHAnsi"/>
          <w:sz w:val="22"/>
          <w:szCs w:val="22"/>
        </w:rPr>
        <w:t>n accredited</w:t>
      </w:r>
      <w:r>
        <w:rPr>
          <w:rFonts w:asciiTheme="minorHAnsi" w:hAnsiTheme="minorHAnsi"/>
          <w:sz w:val="22"/>
          <w:szCs w:val="22"/>
        </w:rPr>
        <w:t xml:space="preserve"> service is not NED compliant </w:t>
      </w:r>
      <w:r w:rsidR="00C83916">
        <w:rPr>
          <w:rFonts w:asciiTheme="minorHAnsi" w:hAnsiTheme="minorHAnsi"/>
          <w:sz w:val="22"/>
          <w:szCs w:val="22"/>
        </w:rPr>
        <w:t xml:space="preserve">by April 2018 </w:t>
      </w:r>
      <w:r>
        <w:rPr>
          <w:rFonts w:asciiTheme="minorHAnsi" w:hAnsiTheme="minorHAnsi"/>
          <w:sz w:val="22"/>
          <w:szCs w:val="22"/>
        </w:rPr>
        <w:t xml:space="preserve">then they would have accreditation deferred. </w:t>
      </w:r>
      <w:r w:rsidR="00DA6545">
        <w:rPr>
          <w:rFonts w:ascii="Calibri" w:eastAsia="Batang" w:hAnsi="Calibri" w:cs="Arial"/>
          <w:sz w:val="22"/>
          <w:szCs w:val="22"/>
        </w:rPr>
        <w:t xml:space="preserve">If a service has genuine mitigating circumstances as to why they are </w:t>
      </w:r>
      <w:r w:rsidR="00C83916">
        <w:rPr>
          <w:rFonts w:ascii="Calibri" w:eastAsia="Batang" w:hAnsi="Calibri" w:cs="Arial"/>
          <w:sz w:val="22"/>
          <w:szCs w:val="22"/>
        </w:rPr>
        <w:t>unable to use</w:t>
      </w:r>
      <w:r w:rsidR="00DA6545">
        <w:rPr>
          <w:rFonts w:ascii="Calibri" w:eastAsia="Batang" w:hAnsi="Calibri" w:cs="Arial"/>
          <w:sz w:val="22"/>
          <w:szCs w:val="22"/>
        </w:rPr>
        <w:t xml:space="preserve"> NED then this will be reviewed by the JAG </w:t>
      </w:r>
      <w:r>
        <w:rPr>
          <w:rFonts w:ascii="Calibri" w:eastAsia="Batang" w:hAnsi="Calibri" w:cs="Arial"/>
          <w:sz w:val="22"/>
          <w:szCs w:val="22"/>
        </w:rPr>
        <w:t>leadership team</w:t>
      </w:r>
      <w:r w:rsidR="00C83916">
        <w:rPr>
          <w:rFonts w:ascii="Calibri" w:eastAsia="Batang" w:hAnsi="Calibri" w:cs="Arial"/>
          <w:sz w:val="22"/>
          <w:szCs w:val="22"/>
        </w:rPr>
        <w:t xml:space="preserve"> and accreditation may be retained for a specified period until they are able to become NED compliant</w:t>
      </w:r>
      <w:r w:rsidR="00DA6545">
        <w:rPr>
          <w:rFonts w:ascii="Calibri" w:eastAsia="Batang" w:hAnsi="Calibri" w:cs="Arial"/>
          <w:sz w:val="22"/>
          <w:szCs w:val="22"/>
        </w:rPr>
        <w:t>.</w:t>
      </w:r>
      <w:r w:rsidR="00C83916">
        <w:rPr>
          <w:rFonts w:ascii="Calibri" w:eastAsia="Batang" w:hAnsi="Calibri" w:cs="Arial"/>
          <w:sz w:val="22"/>
          <w:szCs w:val="22"/>
        </w:rPr>
        <w:t xml:space="preserve"> </w:t>
      </w:r>
      <w:r w:rsidR="000F5455">
        <w:rPr>
          <w:rFonts w:ascii="Calibri" w:eastAsia="Batang" w:hAnsi="Calibri" w:cs="Arial"/>
          <w:sz w:val="22"/>
          <w:szCs w:val="22"/>
        </w:rPr>
        <w:t>Genuine r</w:t>
      </w:r>
      <w:r w:rsidR="00C83916">
        <w:rPr>
          <w:rFonts w:ascii="Calibri" w:eastAsia="Batang" w:hAnsi="Calibri" w:cs="Arial"/>
          <w:sz w:val="22"/>
          <w:szCs w:val="22"/>
        </w:rPr>
        <w:t>easons which may be acceptable include those detailed above.</w:t>
      </w:r>
      <w:r w:rsidR="00DA6545">
        <w:rPr>
          <w:rFonts w:ascii="Calibri" w:eastAsia="Batang" w:hAnsi="Calibri" w:cs="Arial"/>
          <w:sz w:val="22"/>
          <w:szCs w:val="22"/>
        </w:rPr>
        <w:t xml:space="preserve"> </w:t>
      </w:r>
    </w:p>
    <w:p w:rsidR="00DA6545" w:rsidRDefault="00DA6545" w:rsidP="00DA6545">
      <w:pPr>
        <w:spacing w:after="240"/>
        <w:rPr>
          <w:rFonts w:asciiTheme="minorHAnsi" w:hAnsiTheme="minorHAnsi"/>
          <w:sz w:val="22"/>
          <w:szCs w:val="22"/>
        </w:rPr>
      </w:pPr>
      <w:r>
        <w:rPr>
          <w:rFonts w:asciiTheme="minorHAnsi" w:hAnsiTheme="minorHAnsi"/>
          <w:sz w:val="22"/>
          <w:szCs w:val="22"/>
        </w:rPr>
        <w:t xml:space="preserve">For services undergoing assessment and for services completing their annual renewal assessment, </w:t>
      </w:r>
      <w:r w:rsidRPr="009806E7">
        <w:rPr>
          <w:rFonts w:asciiTheme="minorHAnsi" w:hAnsiTheme="minorHAnsi"/>
          <w:sz w:val="22"/>
          <w:szCs w:val="22"/>
        </w:rPr>
        <w:t xml:space="preserve">JAG asks for 12 months of data for operators’ key performance indicators (KPI) as determined by the </w:t>
      </w:r>
      <w:r>
        <w:rPr>
          <w:rFonts w:asciiTheme="minorHAnsi" w:hAnsiTheme="minorHAnsi"/>
          <w:sz w:val="22"/>
          <w:szCs w:val="22"/>
        </w:rPr>
        <w:t>British Society of Gastroenterology (</w:t>
      </w:r>
      <w:r w:rsidRPr="009806E7">
        <w:rPr>
          <w:rFonts w:asciiTheme="minorHAnsi" w:hAnsiTheme="minorHAnsi"/>
          <w:sz w:val="22"/>
          <w:szCs w:val="22"/>
        </w:rPr>
        <w:t>BSG</w:t>
      </w:r>
      <w:r>
        <w:rPr>
          <w:rFonts w:asciiTheme="minorHAnsi" w:hAnsiTheme="minorHAnsi"/>
          <w:sz w:val="22"/>
          <w:szCs w:val="22"/>
        </w:rPr>
        <w:t>). JAG expects data to be provided from NED where this is available. Where there is not 12 months of data held by NED, JAG expects services to source this directly from their ERS (as is current practice).</w:t>
      </w:r>
    </w:p>
    <w:p w:rsidR="00DA6545" w:rsidRDefault="00DA6545" w:rsidP="00DA6545">
      <w:pPr>
        <w:spacing w:after="240"/>
        <w:rPr>
          <w:rFonts w:asciiTheme="minorHAnsi" w:hAnsiTheme="minorHAnsi"/>
          <w:sz w:val="22"/>
          <w:szCs w:val="22"/>
        </w:rPr>
      </w:pPr>
    </w:p>
    <w:p w:rsidR="00DA6545" w:rsidRPr="00DA6545" w:rsidRDefault="00C83916" w:rsidP="00DA6545">
      <w:pPr>
        <w:spacing w:after="240"/>
        <w:rPr>
          <w:rFonts w:asciiTheme="minorHAnsi" w:hAnsiTheme="minorHAnsi"/>
          <w:b/>
          <w:sz w:val="22"/>
          <w:szCs w:val="22"/>
        </w:rPr>
      </w:pPr>
      <w:r>
        <w:rPr>
          <w:rFonts w:asciiTheme="minorHAnsi" w:hAnsiTheme="minorHAnsi"/>
          <w:b/>
          <w:sz w:val="22"/>
          <w:szCs w:val="22"/>
        </w:rPr>
        <w:t>F</w:t>
      </w:r>
      <w:r w:rsidR="000F5455">
        <w:rPr>
          <w:rFonts w:asciiTheme="minorHAnsi" w:hAnsiTheme="minorHAnsi"/>
          <w:b/>
          <w:sz w:val="22"/>
          <w:szCs w:val="22"/>
        </w:rPr>
        <w:t>requently asked questions</w:t>
      </w:r>
    </w:p>
    <w:p w:rsidR="00DA6545" w:rsidRPr="000F5455" w:rsidRDefault="00DA6545" w:rsidP="000F5455">
      <w:pPr>
        <w:rPr>
          <w:rFonts w:asciiTheme="minorHAnsi" w:hAnsiTheme="minorHAnsi"/>
          <w:i/>
          <w:sz w:val="22"/>
          <w:szCs w:val="22"/>
        </w:rPr>
      </w:pPr>
      <w:r w:rsidRPr="000F5455">
        <w:rPr>
          <w:rFonts w:asciiTheme="minorHAnsi" w:hAnsiTheme="minorHAnsi"/>
          <w:i/>
          <w:sz w:val="22"/>
          <w:szCs w:val="22"/>
        </w:rPr>
        <w:t>I am an accredited service and my system is not NED compliant. Will I lose accreditation?</w:t>
      </w:r>
    </w:p>
    <w:p w:rsidR="000F5455" w:rsidRDefault="000F5455" w:rsidP="00AD14EE">
      <w:pPr>
        <w:spacing w:after="240"/>
        <w:rPr>
          <w:rFonts w:asciiTheme="minorHAnsi" w:hAnsiTheme="minorHAnsi"/>
          <w:sz w:val="22"/>
          <w:szCs w:val="22"/>
        </w:rPr>
      </w:pPr>
      <w:r>
        <w:rPr>
          <w:rFonts w:asciiTheme="minorHAnsi" w:hAnsiTheme="minorHAnsi"/>
          <w:sz w:val="22"/>
          <w:szCs w:val="22"/>
        </w:rPr>
        <w:t>If a service has genuine mitigating circumstances as to why they are unable to be NED compliant then this will be reviewed by the JAG leadership team. Services may then be able to retain accreditation for a specified period. If a service does not have an accepted mitigating circumstance then accreditation will be deferred. If the service has not become NED compliant following this accreditation would be withdrawn.</w:t>
      </w:r>
    </w:p>
    <w:p w:rsidR="00DA6545" w:rsidRPr="000F5455" w:rsidRDefault="000F5455" w:rsidP="000F5455">
      <w:pPr>
        <w:rPr>
          <w:rFonts w:asciiTheme="minorHAnsi" w:hAnsiTheme="minorHAnsi"/>
          <w:i/>
          <w:sz w:val="22"/>
          <w:szCs w:val="22"/>
        </w:rPr>
      </w:pPr>
      <w:r>
        <w:rPr>
          <w:rFonts w:asciiTheme="minorHAnsi" w:hAnsiTheme="minorHAnsi"/>
          <w:i/>
          <w:sz w:val="22"/>
          <w:szCs w:val="22"/>
        </w:rPr>
        <w:t>Can my service</w:t>
      </w:r>
      <w:r w:rsidRPr="000F5455">
        <w:rPr>
          <w:rFonts w:asciiTheme="minorHAnsi" w:hAnsiTheme="minorHAnsi"/>
          <w:i/>
          <w:sz w:val="22"/>
          <w:szCs w:val="22"/>
        </w:rPr>
        <w:t xml:space="preserve"> have an accreditation assessment if </w:t>
      </w:r>
      <w:r>
        <w:rPr>
          <w:rFonts w:asciiTheme="minorHAnsi" w:hAnsiTheme="minorHAnsi"/>
          <w:i/>
          <w:sz w:val="22"/>
          <w:szCs w:val="22"/>
        </w:rPr>
        <w:t>it is going</w:t>
      </w:r>
      <w:r w:rsidRPr="000F5455">
        <w:rPr>
          <w:rFonts w:asciiTheme="minorHAnsi" w:hAnsiTheme="minorHAnsi"/>
          <w:i/>
          <w:sz w:val="22"/>
          <w:szCs w:val="22"/>
        </w:rPr>
        <w:t xml:space="preserve"> live with NED soon?</w:t>
      </w:r>
    </w:p>
    <w:p w:rsidR="000F5455" w:rsidRDefault="000F5455" w:rsidP="00AD14EE">
      <w:pPr>
        <w:spacing w:after="240"/>
        <w:rPr>
          <w:rFonts w:asciiTheme="minorHAnsi" w:hAnsiTheme="minorHAnsi"/>
          <w:sz w:val="22"/>
          <w:szCs w:val="22"/>
        </w:rPr>
      </w:pPr>
      <w:r>
        <w:rPr>
          <w:rFonts w:asciiTheme="minorHAnsi" w:hAnsiTheme="minorHAnsi"/>
          <w:sz w:val="22"/>
          <w:szCs w:val="22"/>
        </w:rPr>
        <w:t>Services which have a confirmed date within the imminent future may be allowed to go forward for accreditation. This will be reviewed on an individual basis by the JAG leadership team.</w:t>
      </w:r>
    </w:p>
    <w:p w:rsidR="009806E7" w:rsidRPr="009806E7" w:rsidRDefault="009806E7" w:rsidP="00AD14EE">
      <w:pPr>
        <w:spacing w:after="240"/>
        <w:rPr>
          <w:rFonts w:asciiTheme="minorHAnsi" w:hAnsiTheme="minorHAnsi"/>
          <w:sz w:val="22"/>
          <w:szCs w:val="22"/>
        </w:rPr>
      </w:pPr>
    </w:p>
    <w:p w:rsidR="009806E7" w:rsidRPr="00882FE0" w:rsidRDefault="00785C8F" w:rsidP="00BD223D">
      <w:pPr>
        <w:rPr>
          <w:rFonts w:ascii="Calibri" w:hAnsi="Calibri"/>
          <w:b/>
          <w:sz w:val="22"/>
          <w:szCs w:val="22"/>
        </w:rPr>
      </w:pPr>
      <w:r>
        <w:rPr>
          <w:rFonts w:ascii="Calibri" w:hAnsi="Calibri"/>
          <w:b/>
          <w:sz w:val="22"/>
          <w:szCs w:val="22"/>
        </w:rPr>
        <w:t>Further information</w:t>
      </w:r>
    </w:p>
    <w:p w:rsidR="009806E7" w:rsidRDefault="009806E7" w:rsidP="00BD223D">
      <w:pPr>
        <w:spacing w:after="120"/>
        <w:rPr>
          <w:rFonts w:ascii="Calibri" w:hAnsi="Calibri"/>
          <w:sz w:val="22"/>
          <w:szCs w:val="22"/>
        </w:rPr>
      </w:pPr>
      <w:r>
        <w:rPr>
          <w:rFonts w:ascii="Calibri" w:hAnsi="Calibri"/>
          <w:sz w:val="22"/>
          <w:szCs w:val="22"/>
        </w:rPr>
        <w:t xml:space="preserve">For further information on NED, please see </w:t>
      </w:r>
      <w:hyperlink r:id="rId9" w:history="1">
        <w:r w:rsidRPr="009806E7">
          <w:rPr>
            <w:rStyle w:val="Hyperlink"/>
            <w:rFonts w:ascii="Calibri" w:hAnsi="Calibri"/>
            <w:sz w:val="22"/>
            <w:szCs w:val="22"/>
          </w:rPr>
          <w:t>https://ned.jets.nhs.uk/kpi/</w:t>
        </w:r>
      </w:hyperlink>
      <w:r>
        <w:rPr>
          <w:rFonts w:ascii="Calibri" w:hAnsi="Calibri"/>
          <w:sz w:val="22"/>
          <w:szCs w:val="22"/>
        </w:rPr>
        <w:t>.</w:t>
      </w:r>
    </w:p>
    <w:p w:rsidR="009806E7" w:rsidRPr="00D05BBC" w:rsidRDefault="009806E7" w:rsidP="00BD223D">
      <w:pPr>
        <w:spacing w:after="120"/>
        <w:rPr>
          <w:rFonts w:ascii="Calibri" w:hAnsi="Calibri"/>
          <w:sz w:val="22"/>
          <w:szCs w:val="22"/>
        </w:rPr>
      </w:pPr>
      <w:r>
        <w:rPr>
          <w:rFonts w:ascii="Calibri" w:hAnsi="Calibri"/>
          <w:sz w:val="22"/>
          <w:szCs w:val="22"/>
        </w:rPr>
        <w:t xml:space="preserve">For further support on how NED affects accreditation, please see </w:t>
      </w:r>
      <w:hyperlink r:id="rId10" w:history="1">
        <w:r w:rsidRPr="002978EB">
          <w:rPr>
            <w:rStyle w:val="Hyperlink"/>
            <w:rFonts w:ascii="Calibri" w:hAnsi="Calibri"/>
            <w:sz w:val="22"/>
            <w:szCs w:val="22"/>
          </w:rPr>
          <w:t>www.thejag.org.uk/support</w:t>
        </w:r>
      </w:hyperlink>
      <w:r>
        <w:rPr>
          <w:rFonts w:ascii="Calibri" w:hAnsi="Calibri"/>
          <w:sz w:val="22"/>
          <w:szCs w:val="22"/>
        </w:rPr>
        <w:t>.</w:t>
      </w:r>
    </w:p>
    <w:sectPr w:rsidR="009806E7" w:rsidRPr="00D05BBC" w:rsidSect="00E5078D">
      <w:footerReference w:type="even" r:id="rId11"/>
      <w:footerReference w:type="default" r:id="rId12"/>
      <w:headerReference w:type="first" r:id="rId13"/>
      <w:footerReference w:type="first" r:id="rId14"/>
      <w:pgSz w:w="11904" w:h="16834"/>
      <w:pgMar w:top="1276" w:right="1556" w:bottom="1474" w:left="1474" w:header="284" w:footer="113"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D96" w:rsidRDefault="00013D96" w:rsidP="009003F2">
      <w:r>
        <w:separator/>
      </w:r>
    </w:p>
  </w:endnote>
  <w:endnote w:type="continuationSeparator" w:id="0">
    <w:p w:rsidR="00013D96" w:rsidRDefault="00013D96" w:rsidP="0090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YVTEC P+ Meta Plus Black">
    <w:altName w:val="Meta Plus Black"/>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CD4" w:rsidRDefault="002C6CD4" w:rsidP="000C38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C6CD4" w:rsidRDefault="002C6CD4" w:rsidP="000C388B">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C4A" w:rsidRDefault="00483C4A" w:rsidP="00483C4A">
    <w:pPr>
      <w:pStyle w:val="Footer"/>
      <w:tabs>
        <w:tab w:val="center" w:pos="567"/>
        <w:tab w:val="center" w:pos="1701"/>
      </w:tabs>
      <w:ind w:left="-142" w:right="360"/>
      <w:rPr>
        <w:rFonts w:ascii="Calibri" w:hAnsi="Calibri"/>
        <w:b/>
        <w:sz w:val="18"/>
      </w:rPr>
    </w:pPr>
    <w:r w:rsidRPr="00FE2C7F">
      <w:rPr>
        <w:rFonts w:ascii="Calibri" w:hAnsi="Calibri"/>
        <w:sz w:val="18"/>
      </w:rPr>
      <w:t>11 St Andrews Place</w:t>
    </w:r>
    <w:r w:rsidRPr="00FE2C7F">
      <w:rPr>
        <w:sz w:val="18"/>
      </w:rPr>
      <w:t xml:space="preserve">, </w:t>
    </w:r>
    <w:r w:rsidRPr="00FE2C7F">
      <w:rPr>
        <w:rFonts w:ascii="Calibri" w:hAnsi="Calibri"/>
        <w:sz w:val="18"/>
      </w:rPr>
      <w:t>Regent’s Park</w:t>
    </w:r>
    <w:r w:rsidRPr="00FE2C7F">
      <w:rPr>
        <w:sz w:val="18"/>
      </w:rPr>
      <w:t xml:space="preserve">, </w:t>
    </w:r>
    <w:r w:rsidRPr="00FE2C7F">
      <w:rPr>
        <w:rFonts w:ascii="Calibri" w:hAnsi="Calibri"/>
        <w:sz w:val="18"/>
      </w:rPr>
      <w:t>London NW1 4LE</w:t>
    </w:r>
    <w:r w:rsidRPr="00FE2C7F">
      <w:rPr>
        <w:rFonts w:ascii="Calibri" w:hAnsi="Calibri"/>
        <w:sz w:val="18"/>
      </w:rPr>
      <w:br/>
      <w:t xml:space="preserve">Tel: +44 (0)20 </w:t>
    </w:r>
    <w:r>
      <w:rPr>
        <w:rFonts w:ascii="Calibri" w:hAnsi="Calibri"/>
        <w:sz w:val="18"/>
      </w:rPr>
      <w:t>3075 1649</w:t>
    </w:r>
    <w:r w:rsidRPr="00FE2C7F">
      <w:rPr>
        <w:rFonts w:ascii="Calibri" w:hAnsi="Calibri"/>
        <w:sz w:val="18"/>
      </w:rPr>
      <w:t>, Fax: +44 (0)20 7487 5218</w:t>
    </w:r>
    <w:r w:rsidRPr="00CC3DFB">
      <w:rPr>
        <w:rFonts w:ascii="Calibri" w:hAnsi="Calibri"/>
        <w:sz w:val="18"/>
      </w:rPr>
      <w:t xml:space="preserve">, </w:t>
    </w:r>
    <w:hyperlink r:id="rId1" w:history="1">
      <w:r w:rsidRPr="009E34E7">
        <w:rPr>
          <w:rStyle w:val="Hyperlink"/>
          <w:rFonts w:ascii="Calibri" w:hAnsi="Calibri"/>
          <w:sz w:val="18"/>
        </w:rPr>
        <w:t>www.rcplondon.ac.uk</w:t>
      </w:r>
    </w:hyperlink>
  </w:p>
  <w:p w:rsidR="00483C4A" w:rsidRPr="005F6421" w:rsidRDefault="00483C4A" w:rsidP="00483C4A">
    <w:pPr>
      <w:pStyle w:val="Footer"/>
      <w:tabs>
        <w:tab w:val="center" w:pos="567"/>
        <w:tab w:val="center" w:pos="1701"/>
      </w:tabs>
      <w:ind w:left="-142" w:right="360"/>
      <w:rPr>
        <w:rFonts w:ascii="Calibri" w:hAnsi="Calibri"/>
        <w:b/>
        <w:sz w:val="18"/>
      </w:rPr>
    </w:pPr>
    <w:r w:rsidRPr="00FE2C7F">
      <w:rPr>
        <w:rFonts w:ascii="Calibri" w:hAnsi="Calibri"/>
        <w:sz w:val="18"/>
      </w:rPr>
      <w:t xml:space="preserve">Registered </w:t>
    </w:r>
    <w:r>
      <w:rPr>
        <w:rFonts w:ascii="Calibri" w:hAnsi="Calibri"/>
        <w:sz w:val="18"/>
      </w:rPr>
      <w:t>c</w:t>
    </w:r>
    <w:r w:rsidRPr="00FE2C7F">
      <w:rPr>
        <w:rFonts w:ascii="Calibri" w:hAnsi="Calibri"/>
        <w:sz w:val="18"/>
      </w:rPr>
      <w:t xml:space="preserve">harity </w:t>
    </w:r>
    <w:r>
      <w:rPr>
        <w:rFonts w:ascii="Calibri" w:hAnsi="Calibri"/>
        <w:sz w:val="18"/>
      </w:rPr>
      <w:t>n</w:t>
    </w:r>
    <w:r w:rsidRPr="00FE2C7F">
      <w:rPr>
        <w:rFonts w:ascii="Calibri" w:hAnsi="Calibri"/>
        <w:sz w:val="18"/>
      </w:rPr>
      <w:t>o 210508</w:t>
    </w:r>
    <w:r w:rsidRPr="00FE2C7F">
      <w:rPr>
        <w:rFonts w:ascii="Calibri" w:hAnsi="Calibri"/>
        <w:sz w:val="18"/>
      </w:rPr>
      <w:tab/>
    </w:r>
  </w:p>
  <w:p w:rsidR="002C6CD4" w:rsidRPr="00FE2C7F" w:rsidRDefault="002C6CD4" w:rsidP="00D35A8C">
    <w:pPr>
      <w:pStyle w:val="Footer"/>
      <w:tabs>
        <w:tab w:val="center" w:pos="567"/>
        <w:tab w:val="center" w:pos="1701"/>
      </w:tabs>
      <w:ind w:right="360"/>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421" w:rsidRDefault="005F6421" w:rsidP="005F6421">
    <w:pPr>
      <w:pStyle w:val="Footer"/>
      <w:tabs>
        <w:tab w:val="center" w:pos="567"/>
        <w:tab w:val="center" w:pos="1701"/>
      </w:tabs>
      <w:ind w:left="-142" w:right="360"/>
      <w:rPr>
        <w:rFonts w:ascii="Calibri" w:hAnsi="Calibri"/>
        <w:b/>
        <w:sz w:val="18"/>
      </w:rPr>
    </w:pPr>
    <w:r w:rsidRPr="00FE2C7F">
      <w:rPr>
        <w:rFonts w:ascii="Calibri" w:hAnsi="Calibri"/>
        <w:sz w:val="18"/>
      </w:rPr>
      <w:t>11 St Andrews Place</w:t>
    </w:r>
    <w:r w:rsidRPr="00FE2C7F">
      <w:rPr>
        <w:sz w:val="18"/>
      </w:rPr>
      <w:t xml:space="preserve">, </w:t>
    </w:r>
    <w:r w:rsidRPr="00FE2C7F">
      <w:rPr>
        <w:rFonts w:ascii="Calibri" w:hAnsi="Calibri"/>
        <w:sz w:val="18"/>
      </w:rPr>
      <w:t>Regent’s Park</w:t>
    </w:r>
    <w:r w:rsidRPr="00FE2C7F">
      <w:rPr>
        <w:sz w:val="18"/>
      </w:rPr>
      <w:t xml:space="preserve">, </w:t>
    </w:r>
    <w:r w:rsidRPr="00FE2C7F">
      <w:rPr>
        <w:rFonts w:ascii="Calibri" w:hAnsi="Calibri"/>
        <w:sz w:val="18"/>
      </w:rPr>
      <w:t>London NW1 4LE</w:t>
    </w:r>
    <w:r w:rsidRPr="00FE2C7F">
      <w:rPr>
        <w:rFonts w:ascii="Calibri" w:hAnsi="Calibri"/>
        <w:sz w:val="18"/>
      </w:rPr>
      <w:br/>
      <w:t xml:space="preserve">Tel: +44 (0)20 </w:t>
    </w:r>
    <w:r>
      <w:rPr>
        <w:rFonts w:ascii="Calibri" w:hAnsi="Calibri"/>
        <w:sz w:val="18"/>
      </w:rPr>
      <w:t>3075 1649</w:t>
    </w:r>
    <w:r w:rsidRPr="00FE2C7F">
      <w:rPr>
        <w:rFonts w:ascii="Calibri" w:hAnsi="Calibri"/>
        <w:sz w:val="18"/>
      </w:rPr>
      <w:t>, Fax: +44 (0)20 7487 5218</w:t>
    </w:r>
    <w:r w:rsidRPr="00CC3DFB">
      <w:rPr>
        <w:rFonts w:ascii="Calibri" w:hAnsi="Calibri"/>
        <w:sz w:val="18"/>
      </w:rPr>
      <w:t xml:space="preserve">, </w:t>
    </w:r>
    <w:hyperlink r:id="rId1" w:history="1">
      <w:r w:rsidRPr="009E34E7">
        <w:rPr>
          <w:rStyle w:val="Hyperlink"/>
          <w:rFonts w:ascii="Calibri" w:hAnsi="Calibri"/>
          <w:sz w:val="18"/>
        </w:rPr>
        <w:t>www.rcplondon.ac.uk</w:t>
      </w:r>
    </w:hyperlink>
  </w:p>
  <w:p w:rsidR="002C6CD4" w:rsidRPr="005F6421" w:rsidRDefault="005F6421" w:rsidP="005F6421">
    <w:pPr>
      <w:pStyle w:val="Footer"/>
      <w:tabs>
        <w:tab w:val="center" w:pos="567"/>
        <w:tab w:val="center" w:pos="1701"/>
      </w:tabs>
      <w:ind w:left="-142" w:right="360"/>
      <w:rPr>
        <w:rFonts w:ascii="Calibri" w:hAnsi="Calibri"/>
        <w:b/>
        <w:sz w:val="18"/>
      </w:rPr>
    </w:pPr>
    <w:r w:rsidRPr="00FE2C7F">
      <w:rPr>
        <w:rFonts w:ascii="Calibri" w:hAnsi="Calibri"/>
        <w:sz w:val="18"/>
      </w:rPr>
      <w:t xml:space="preserve">Registered </w:t>
    </w:r>
    <w:r>
      <w:rPr>
        <w:rFonts w:ascii="Calibri" w:hAnsi="Calibri"/>
        <w:sz w:val="18"/>
      </w:rPr>
      <w:t>c</w:t>
    </w:r>
    <w:r w:rsidRPr="00FE2C7F">
      <w:rPr>
        <w:rFonts w:ascii="Calibri" w:hAnsi="Calibri"/>
        <w:sz w:val="18"/>
      </w:rPr>
      <w:t xml:space="preserve">harity </w:t>
    </w:r>
    <w:r>
      <w:rPr>
        <w:rFonts w:ascii="Calibri" w:hAnsi="Calibri"/>
        <w:sz w:val="18"/>
      </w:rPr>
      <w:t>n</w:t>
    </w:r>
    <w:r w:rsidRPr="00FE2C7F">
      <w:rPr>
        <w:rFonts w:ascii="Calibri" w:hAnsi="Calibri"/>
        <w:sz w:val="18"/>
      </w:rPr>
      <w:t>o 210508</w:t>
    </w:r>
    <w:r w:rsidR="002C6CD4" w:rsidRPr="00FE2C7F">
      <w:rPr>
        <w:rFonts w:ascii="Calibri" w:hAnsi="Calibri"/>
        <w:sz w:val="18"/>
      </w:rPr>
      <w:tab/>
    </w:r>
  </w:p>
  <w:p w:rsidR="002C6CD4" w:rsidRDefault="002C6C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D96" w:rsidRDefault="00013D96" w:rsidP="009003F2">
      <w:r>
        <w:separator/>
      </w:r>
    </w:p>
  </w:footnote>
  <w:footnote w:type="continuationSeparator" w:id="0">
    <w:p w:rsidR="00013D96" w:rsidRDefault="00013D96" w:rsidP="009003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CD4" w:rsidRDefault="00DC33CB" w:rsidP="005F6421">
    <w:pPr>
      <w:pStyle w:val="Header"/>
      <w:tabs>
        <w:tab w:val="clear" w:pos="4320"/>
        <w:tab w:val="clear" w:pos="8640"/>
        <w:tab w:val="left" w:pos="6804"/>
      </w:tabs>
      <w:ind w:left="-1474"/>
      <w:jc w:val="center"/>
      <w:rPr>
        <w:rFonts w:ascii="Calibri" w:hAnsi="Calibri"/>
        <w:b/>
        <w:sz w:val="44"/>
      </w:rPr>
    </w:pPr>
    <w:r>
      <w:rPr>
        <w:noProof/>
        <w:lang w:eastAsia="en-GB"/>
      </w:rPr>
      <w:drawing>
        <wp:anchor distT="0" distB="0" distL="114300" distR="114300" simplePos="0" relativeHeight="251658752" behindDoc="1" locked="0" layoutInCell="1" allowOverlap="1" wp14:anchorId="4069DB9D" wp14:editId="381AF2CC">
          <wp:simplePos x="0" y="0"/>
          <wp:positionH relativeFrom="column">
            <wp:posOffset>-998855</wp:posOffset>
          </wp:positionH>
          <wp:positionV relativeFrom="paragraph">
            <wp:posOffset>-201930</wp:posOffset>
          </wp:positionV>
          <wp:extent cx="7538720" cy="2021840"/>
          <wp:effectExtent l="0" t="0" r="0" b="0"/>
          <wp:wrapNone/>
          <wp:docPr id="5" name="Picture 26" descr="RCP_mastheads-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RCP_mastheads-blan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8720" cy="2021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7728" behindDoc="0" locked="0" layoutInCell="1" allowOverlap="1" wp14:anchorId="7CE15100" wp14:editId="6AED657B">
          <wp:simplePos x="0" y="0"/>
          <wp:positionH relativeFrom="column">
            <wp:posOffset>1403985</wp:posOffset>
          </wp:positionH>
          <wp:positionV relativeFrom="paragraph">
            <wp:posOffset>-116840</wp:posOffset>
          </wp:positionV>
          <wp:extent cx="1583690" cy="1122045"/>
          <wp:effectExtent l="0" t="0" r="0" b="0"/>
          <wp:wrapNone/>
          <wp:docPr id="4" name="Picture 19" descr="JAG_logo_2Colou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JAG_logo_2Colour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3690" cy="1122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6704" behindDoc="0" locked="0" layoutInCell="1" allowOverlap="1" wp14:anchorId="305B22E2" wp14:editId="3356140A">
              <wp:simplePos x="0" y="0"/>
              <wp:positionH relativeFrom="column">
                <wp:posOffset>1343025</wp:posOffset>
              </wp:positionH>
              <wp:positionV relativeFrom="paragraph">
                <wp:posOffset>150495</wp:posOffset>
              </wp:positionV>
              <wp:extent cx="635" cy="486410"/>
              <wp:effectExtent l="0" t="0" r="18415" b="8890"/>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6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6" o:spid="_x0000_s1026" type="#_x0000_t32" style="position:absolute;margin-left:105.75pt;margin-top:11.85pt;width:.05pt;height:38.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"/>
          </w:pict>
        </mc:Fallback>
      </mc:AlternateContent>
    </w:r>
    <w:r>
      <w:rPr>
        <w:noProof/>
        <w:lang w:eastAsia="en-GB"/>
      </w:rPr>
      <w:drawing>
        <wp:anchor distT="0" distB="0" distL="114300" distR="114300" simplePos="0" relativeHeight="251655680" behindDoc="1" locked="0" layoutInCell="1" allowOverlap="1" wp14:anchorId="084B989B" wp14:editId="572A2509">
          <wp:simplePos x="0" y="0"/>
          <wp:positionH relativeFrom="column">
            <wp:posOffset>-998855</wp:posOffset>
          </wp:positionH>
          <wp:positionV relativeFrom="paragraph">
            <wp:posOffset>-201930</wp:posOffset>
          </wp:positionV>
          <wp:extent cx="7538720" cy="2021840"/>
          <wp:effectExtent l="0" t="0" r="0" b="0"/>
          <wp:wrapNone/>
          <wp:docPr id="1" name="Picture 14" descr="RCP_mastheads-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CP_mastheads-blan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8720" cy="2021840"/>
                  </a:xfrm>
                  <a:prstGeom prst="rect">
                    <a:avLst/>
                  </a:prstGeom>
                  <a:noFill/>
                  <a:ln>
                    <a:noFill/>
                  </a:ln>
                </pic:spPr>
              </pic:pic>
            </a:graphicData>
          </a:graphic>
          <wp14:sizeRelH relativeFrom="page">
            <wp14:pctWidth>0</wp14:pctWidth>
          </wp14:sizeRelH>
          <wp14:sizeRelV relativeFrom="page">
            <wp14:pctHeight>0</wp14:pctHeight>
          </wp14:sizeRelV>
        </wp:anchor>
      </w:drawing>
    </w:r>
    <w:r w:rsidR="002C6CD4" w:rsidRPr="0084709E">
      <w:rPr>
        <w:rFonts w:ascii="Calibri" w:hAnsi="Calibri"/>
        <w:b/>
        <w:sz w:val="44"/>
      </w:rPr>
      <w:tab/>
    </w:r>
  </w:p>
  <w:p w:rsidR="002C6CD4" w:rsidRPr="0084709E" w:rsidRDefault="002C6CD4" w:rsidP="00223562">
    <w:pPr>
      <w:pStyle w:val="Header"/>
      <w:tabs>
        <w:tab w:val="clear" w:pos="4320"/>
        <w:tab w:val="clear" w:pos="8640"/>
        <w:tab w:val="left" w:pos="6804"/>
      </w:tabs>
      <w:ind w:left="-1474"/>
      <w:jc w:val="center"/>
      <w:rPr>
        <w:rFonts w:ascii="Calibri" w:hAnsi="Calibri"/>
        <w:sz w:val="44"/>
      </w:rPr>
    </w:pPr>
    <w:r w:rsidRPr="0084709E">
      <w:rPr>
        <w:rFonts w:ascii="Calibri" w:hAnsi="Calibri"/>
        <w:b/>
        <w:sz w:val="44"/>
      </w:rPr>
      <w:tab/>
    </w:r>
  </w:p>
  <w:p w:rsidR="002C6CD4" w:rsidRDefault="002C6C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E464C"/>
    <w:multiLevelType w:val="hybridMultilevel"/>
    <w:tmpl w:val="4D564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F567FC"/>
    <w:multiLevelType w:val="hybridMultilevel"/>
    <w:tmpl w:val="3C029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6B10C1"/>
    <w:multiLevelType w:val="hybridMultilevel"/>
    <w:tmpl w:val="BB645C04"/>
    <w:lvl w:ilvl="0" w:tplc="48AC81CA">
      <w:start w:val="4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580763B"/>
    <w:multiLevelType w:val="hybridMultilevel"/>
    <w:tmpl w:val="CA2C81E4"/>
    <w:lvl w:ilvl="0" w:tplc="91307F58">
      <w:start w:val="1"/>
      <w:numFmt w:val="decimal"/>
      <w:lvlText w:val="%1."/>
      <w:lvlJc w:val="left"/>
      <w:pPr>
        <w:ind w:left="247" w:hanging="360"/>
      </w:pPr>
      <w:rPr>
        <w:rFonts w:hint="default"/>
      </w:rPr>
    </w:lvl>
    <w:lvl w:ilvl="1" w:tplc="08090019" w:tentative="1">
      <w:start w:val="1"/>
      <w:numFmt w:val="lowerLetter"/>
      <w:lvlText w:val="%2."/>
      <w:lvlJc w:val="left"/>
      <w:pPr>
        <w:ind w:left="967" w:hanging="360"/>
      </w:pPr>
    </w:lvl>
    <w:lvl w:ilvl="2" w:tplc="0809001B" w:tentative="1">
      <w:start w:val="1"/>
      <w:numFmt w:val="lowerRoman"/>
      <w:lvlText w:val="%3."/>
      <w:lvlJc w:val="right"/>
      <w:pPr>
        <w:ind w:left="1687" w:hanging="180"/>
      </w:pPr>
    </w:lvl>
    <w:lvl w:ilvl="3" w:tplc="0809000F" w:tentative="1">
      <w:start w:val="1"/>
      <w:numFmt w:val="decimal"/>
      <w:lvlText w:val="%4."/>
      <w:lvlJc w:val="left"/>
      <w:pPr>
        <w:ind w:left="2407" w:hanging="360"/>
      </w:pPr>
    </w:lvl>
    <w:lvl w:ilvl="4" w:tplc="08090019" w:tentative="1">
      <w:start w:val="1"/>
      <w:numFmt w:val="lowerLetter"/>
      <w:lvlText w:val="%5."/>
      <w:lvlJc w:val="left"/>
      <w:pPr>
        <w:ind w:left="3127" w:hanging="360"/>
      </w:pPr>
    </w:lvl>
    <w:lvl w:ilvl="5" w:tplc="0809001B" w:tentative="1">
      <w:start w:val="1"/>
      <w:numFmt w:val="lowerRoman"/>
      <w:lvlText w:val="%6."/>
      <w:lvlJc w:val="right"/>
      <w:pPr>
        <w:ind w:left="3847" w:hanging="180"/>
      </w:pPr>
    </w:lvl>
    <w:lvl w:ilvl="6" w:tplc="0809000F" w:tentative="1">
      <w:start w:val="1"/>
      <w:numFmt w:val="decimal"/>
      <w:lvlText w:val="%7."/>
      <w:lvlJc w:val="left"/>
      <w:pPr>
        <w:ind w:left="4567" w:hanging="360"/>
      </w:pPr>
    </w:lvl>
    <w:lvl w:ilvl="7" w:tplc="08090019" w:tentative="1">
      <w:start w:val="1"/>
      <w:numFmt w:val="lowerLetter"/>
      <w:lvlText w:val="%8."/>
      <w:lvlJc w:val="left"/>
      <w:pPr>
        <w:ind w:left="5287" w:hanging="360"/>
      </w:pPr>
    </w:lvl>
    <w:lvl w:ilvl="8" w:tplc="0809001B" w:tentative="1">
      <w:start w:val="1"/>
      <w:numFmt w:val="lowerRoman"/>
      <w:lvlText w:val="%9."/>
      <w:lvlJc w:val="right"/>
      <w:pPr>
        <w:ind w:left="6007" w:hanging="180"/>
      </w:pPr>
    </w:lvl>
  </w:abstractNum>
  <w:abstractNum w:abstractNumId="4">
    <w:nsid w:val="171412AC"/>
    <w:multiLevelType w:val="hybridMultilevel"/>
    <w:tmpl w:val="0E9A8B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E3F0E9D"/>
    <w:multiLevelType w:val="multilevel"/>
    <w:tmpl w:val="B1080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DB4531"/>
    <w:multiLevelType w:val="multilevel"/>
    <w:tmpl w:val="49E67E3A"/>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7484136"/>
    <w:multiLevelType w:val="hybridMultilevel"/>
    <w:tmpl w:val="2E6EAC2C"/>
    <w:lvl w:ilvl="0" w:tplc="C32282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CED3460"/>
    <w:multiLevelType w:val="hybridMultilevel"/>
    <w:tmpl w:val="112E7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38479F4"/>
    <w:multiLevelType w:val="hybridMultilevel"/>
    <w:tmpl w:val="8DD80D0E"/>
    <w:lvl w:ilvl="0" w:tplc="980EEB62">
      <w:start w:val="11"/>
      <w:numFmt w:val="bullet"/>
      <w:lvlText w:val="-"/>
      <w:lvlJc w:val="left"/>
      <w:pPr>
        <w:ind w:left="1080" w:hanging="360"/>
      </w:pPr>
      <w:rPr>
        <w:rFonts w:ascii="Calibri" w:eastAsia="Times New Roman" w:hAnsi="Calibri"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
    <w:nsid w:val="37A31769"/>
    <w:multiLevelType w:val="hybridMultilevel"/>
    <w:tmpl w:val="112045F6"/>
    <w:lvl w:ilvl="0" w:tplc="4268DF24">
      <w:start w:val="1"/>
      <w:numFmt w:val="decimal"/>
      <w:lvlText w:val="%1."/>
      <w:lvlJc w:val="left"/>
      <w:pPr>
        <w:ind w:left="720" w:hanging="360"/>
      </w:pPr>
      <w:rPr>
        <w:rFonts w:hint="default"/>
        <w:b/>
        <w:i w:val="0"/>
        <w:color w:val="auto"/>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CB76FD6"/>
    <w:multiLevelType w:val="hybridMultilevel"/>
    <w:tmpl w:val="480434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401B0AF2"/>
    <w:multiLevelType w:val="hybridMultilevel"/>
    <w:tmpl w:val="B5B8DD84"/>
    <w:lvl w:ilvl="0" w:tplc="87C2BF76">
      <w:numFmt w:val="bullet"/>
      <w:lvlText w:val="-"/>
      <w:lvlJc w:val="left"/>
      <w:pPr>
        <w:ind w:left="720" w:hanging="360"/>
      </w:pPr>
      <w:rPr>
        <w:rFonts w:ascii="Calibri" w:eastAsia="Batang"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3183AB4"/>
    <w:multiLevelType w:val="hybridMultilevel"/>
    <w:tmpl w:val="766A55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4D8C47F0"/>
    <w:multiLevelType w:val="hybridMultilevel"/>
    <w:tmpl w:val="3760E396"/>
    <w:lvl w:ilvl="0" w:tplc="9DAEC29A">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87F5C12"/>
    <w:multiLevelType w:val="hybridMultilevel"/>
    <w:tmpl w:val="CD32A4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86E1089"/>
    <w:multiLevelType w:val="hybridMultilevel"/>
    <w:tmpl w:val="4050B82A"/>
    <w:lvl w:ilvl="0" w:tplc="A7CCA8B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95D673C"/>
    <w:multiLevelType w:val="multilevel"/>
    <w:tmpl w:val="4CF6D4F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6A9C3B3B"/>
    <w:multiLevelType w:val="hybridMultilevel"/>
    <w:tmpl w:val="041288D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DA360F0"/>
    <w:multiLevelType w:val="hybridMultilevel"/>
    <w:tmpl w:val="6A166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0D90989"/>
    <w:multiLevelType w:val="hybridMultilevel"/>
    <w:tmpl w:val="FF1C5E28"/>
    <w:lvl w:ilvl="0" w:tplc="08090001">
      <w:start w:val="1"/>
      <w:numFmt w:val="bullet"/>
      <w:lvlText w:val=""/>
      <w:lvlJc w:val="left"/>
      <w:pPr>
        <w:ind w:left="1365" w:hanging="360"/>
      </w:pPr>
      <w:rPr>
        <w:rFonts w:ascii="Symbol" w:hAnsi="Symbo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21">
    <w:nsid w:val="723A6D87"/>
    <w:multiLevelType w:val="hybridMultilevel"/>
    <w:tmpl w:val="3BA80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3">
    <w:nsid w:val="79742232"/>
    <w:multiLevelType w:val="hybridMultilevel"/>
    <w:tmpl w:val="35E050E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3"/>
  </w:num>
  <w:num w:numId="2">
    <w:abstractNumId w:val="22"/>
  </w:num>
  <w:num w:numId="3">
    <w:abstractNumId w:val="17"/>
  </w:num>
  <w:num w:numId="4">
    <w:abstractNumId w:val="2"/>
  </w:num>
  <w:num w:numId="5">
    <w:abstractNumId w:val="10"/>
  </w:num>
  <w:num w:numId="6">
    <w:abstractNumId w:val="16"/>
  </w:num>
  <w:num w:numId="7">
    <w:abstractNumId w:val="9"/>
  </w:num>
  <w:num w:numId="8">
    <w:abstractNumId w:val="20"/>
  </w:num>
  <w:num w:numId="9">
    <w:abstractNumId w:val="5"/>
  </w:num>
  <w:num w:numId="10">
    <w:abstractNumId w:val="6"/>
  </w:num>
  <w:num w:numId="11">
    <w:abstractNumId w:val="1"/>
  </w:num>
  <w:num w:numId="12">
    <w:abstractNumId w:val="23"/>
  </w:num>
  <w:num w:numId="13">
    <w:abstractNumId w:val="8"/>
  </w:num>
  <w:num w:numId="14">
    <w:abstractNumId w:val="19"/>
  </w:num>
  <w:num w:numId="15">
    <w:abstractNumId w:val="12"/>
  </w:num>
  <w:num w:numId="16">
    <w:abstractNumId w:val="15"/>
  </w:num>
  <w:num w:numId="17">
    <w:abstractNumId w:val="1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1"/>
  </w:num>
  <w:num w:numId="21">
    <w:abstractNumId w:val="14"/>
  </w:num>
  <w:num w:numId="22">
    <w:abstractNumId w:val="18"/>
  </w:num>
  <w:num w:numId="23">
    <w:abstractNumId w:val="21"/>
  </w:num>
  <w:num w:numId="24">
    <w:abstractNumId w:val="7"/>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E59"/>
    <w:rsid w:val="00013D96"/>
    <w:rsid w:val="000235E2"/>
    <w:rsid w:val="000448EA"/>
    <w:rsid w:val="000449C0"/>
    <w:rsid w:val="000474EC"/>
    <w:rsid w:val="00073123"/>
    <w:rsid w:val="000A56F4"/>
    <w:rsid w:val="000C388B"/>
    <w:rsid w:val="000C5F82"/>
    <w:rsid w:val="000F5455"/>
    <w:rsid w:val="00102EB5"/>
    <w:rsid w:val="001165E0"/>
    <w:rsid w:val="00116F61"/>
    <w:rsid w:val="0014194E"/>
    <w:rsid w:val="001428D2"/>
    <w:rsid w:val="00175144"/>
    <w:rsid w:val="0019521C"/>
    <w:rsid w:val="001C0B30"/>
    <w:rsid w:val="001F4AD8"/>
    <w:rsid w:val="002178AD"/>
    <w:rsid w:val="00223562"/>
    <w:rsid w:val="00224C0A"/>
    <w:rsid w:val="00233E34"/>
    <w:rsid w:val="00243AB6"/>
    <w:rsid w:val="0024485B"/>
    <w:rsid w:val="00253B75"/>
    <w:rsid w:val="00254695"/>
    <w:rsid w:val="0029194F"/>
    <w:rsid w:val="00294F7C"/>
    <w:rsid w:val="002A28AB"/>
    <w:rsid w:val="002B0C7A"/>
    <w:rsid w:val="002B210F"/>
    <w:rsid w:val="002B6112"/>
    <w:rsid w:val="002C6CD4"/>
    <w:rsid w:val="002F66BF"/>
    <w:rsid w:val="00315357"/>
    <w:rsid w:val="0036181A"/>
    <w:rsid w:val="003656A4"/>
    <w:rsid w:val="00391C05"/>
    <w:rsid w:val="003A44A7"/>
    <w:rsid w:val="003D0F26"/>
    <w:rsid w:val="003E5E75"/>
    <w:rsid w:val="003F179D"/>
    <w:rsid w:val="0044165B"/>
    <w:rsid w:val="00481698"/>
    <w:rsid w:val="00483C4A"/>
    <w:rsid w:val="004D26C5"/>
    <w:rsid w:val="004F3BF1"/>
    <w:rsid w:val="004F79A6"/>
    <w:rsid w:val="00507B9A"/>
    <w:rsid w:val="00534D56"/>
    <w:rsid w:val="0054556D"/>
    <w:rsid w:val="0057262B"/>
    <w:rsid w:val="00592915"/>
    <w:rsid w:val="005A07C3"/>
    <w:rsid w:val="005A2144"/>
    <w:rsid w:val="005A3717"/>
    <w:rsid w:val="005C3410"/>
    <w:rsid w:val="005C4972"/>
    <w:rsid w:val="005D5B68"/>
    <w:rsid w:val="005E0BF1"/>
    <w:rsid w:val="005F6421"/>
    <w:rsid w:val="00602643"/>
    <w:rsid w:val="00616575"/>
    <w:rsid w:val="0062391C"/>
    <w:rsid w:val="00623D92"/>
    <w:rsid w:val="006247A3"/>
    <w:rsid w:val="00657C94"/>
    <w:rsid w:val="00662F30"/>
    <w:rsid w:val="00672952"/>
    <w:rsid w:val="00687B93"/>
    <w:rsid w:val="006A15CF"/>
    <w:rsid w:val="006C6134"/>
    <w:rsid w:val="006C6C72"/>
    <w:rsid w:val="006E224B"/>
    <w:rsid w:val="006F70AF"/>
    <w:rsid w:val="007161A9"/>
    <w:rsid w:val="00725643"/>
    <w:rsid w:val="00731128"/>
    <w:rsid w:val="0073592F"/>
    <w:rsid w:val="0074595C"/>
    <w:rsid w:val="00747544"/>
    <w:rsid w:val="007637FF"/>
    <w:rsid w:val="007666F9"/>
    <w:rsid w:val="00785C8F"/>
    <w:rsid w:val="007A2C6E"/>
    <w:rsid w:val="007C10C3"/>
    <w:rsid w:val="007E35F8"/>
    <w:rsid w:val="007F3CFF"/>
    <w:rsid w:val="0082257A"/>
    <w:rsid w:val="008234B4"/>
    <w:rsid w:val="00832BD5"/>
    <w:rsid w:val="00832DFD"/>
    <w:rsid w:val="008351D3"/>
    <w:rsid w:val="00844EEA"/>
    <w:rsid w:val="00852344"/>
    <w:rsid w:val="00855F61"/>
    <w:rsid w:val="00882FE0"/>
    <w:rsid w:val="00883582"/>
    <w:rsid w:val="00892B5B"/>
    <w:rsid w:val="00895CC0"/>
    <w:rsid w:val="008B56A9"/>
    <w:rsid w:val="008E0345"/>
    <w:rsid w:val="008E648B"/>
    <w:rsid w:val="008F3889"/>
    <w:rsid w:val="008F415B"/>
    <w:rsid w:val="009003F2"/>
    <w:rsid w:val="00900A79"/>
    <w:rsid w:val="00923A7C"/>
    <w:rsid w:val="00934505"/>
    <w:rsid w:val="0095423A"/>
    <w:rsid w:val="009806E7"/>
    <w:rsid w:val="009B7395"/>
    <w:rsid w:val="009C5033"/>
    <w:rsid w:val="009E1EAF"/>
    <w:rsid w:val="009E35B9"/>
    <w:rsid w:val="00A06F0D"/>
    <w:rsid w:val="00A07B66"/>
    <w:rsid w:val="00A20CCB"/>
    <w:rsid w:val="00A25535"/>
    <w:rsid w:val="00A30EA3"/>
    <w:rsid w:val="00A419F7"/>
    <w:rsid w:val="00A46340"/>
    <w:rsid w:val="00A73411"/>
    <w:rsid w:val="00A76728"/>
    <w:rsid w:val="00A90792"/>
    <w:rsid w:val="00A94935"/>
    <w:rsid w:val="00AB0E37"/>
    <w:rsid w:val="00AB5927"/>
    <w:rsid w:val="00AC7B1B"/>
    <w:rsid w:val="00AD14EE"/>
    <w:rsid w:val="00B21799"/>
    <w:rsid w:val="00B3403F"/>
    <w:rsid w:val="00B41408"/>
    <w:rsid w:val="00B47731"/>
    <w:rsid w:val="00B60BF8"/>
    <w:rsid w:val="00B669CB"/>
    <w:rsid w:val="00B90DDB"/>
    <w:rsid w:val="00B97BE8"/>
    <w:rsid w:val="00BB0628"/>
    <w:rsid w:val="00BD223D"/>
    <w:rsid w:val="00BE61F3"/>
    <w:rsid w:val="00C42E0B"/>
    <w:rsid w:val="00C4358E"/>
    <w:rsid w:val="00C76187"/>
    <w:rsid w:val="00C83916"/>
    <w:rsid w:val="00C97380"/>
    <w:rsid w:val="00CA3E18"/>
    <w:rsid w:val="00CE52C7"/>
    <w:rsid w:val="00CE7AF2"/>
    <w:rsid w:val="00CF023B"/>
    <w:rsid w:val="00D05BBC"/>
    <w:rsid w:val="00D12DC4"/>
    <w:rsid w:val="00D22BAA"/>
    <w:rsid w:val="00D2538A"/>
    <w:rsid w:val="00D35A8C"/>
    <w:rsid w:val="00D5085B"/>
    <w:rsid w:val="00D50BE6"/>
    <w:rsid w:val="00D51CAD"/>
    <w:rsid w:val="00D531CC"/>
    <w:rsid w:val="00D666E8"/>
    <w:rsid w:val="00DA6545"/>
    <w:rsid w:val="00DA6A35"/>
    <w:rsid w:val="00DB1269"/>
    <w:rsid w:val="00DC33CB"/>
    <w:rsid w:val="00DD75AA"/>
    <w:rsid w:val="00DE10AF"/>
    <w:rsid w:val="00E01EDB"/>
    <w:rsid w:val="00E1627A"/>
    <w:rsid w:val="00E32C38"/>
    <w:rsid w:val="00E366ED"/>
    <w:rsid w:val="00E41B33"/>
    <w:rsid w:val="00E5078D"/>
    <w:rsid w:val="00E61817"/>
    <w:rsid w:val="00E64E59"/>
    <w:rsid w:val="00E719AC"/>
    <w:rsid w:val="00E877CE"/>
    <w:rsid w:val="00E904C5"/>
    <w:rsid w:val="00E95191"/>
    <w:rsid w:val="00EB3688"/>
    <w:rsid w:val="00EC794B"/>
    <w:rsid w:val="00ED7A7B"/>
    <w:rsid w:val="00EE284A"/>
    <w:rsid w:val="00EF7FC6"/>
    <w:rsid w:val="00F50DBE"/>
    <w:rsid w:val="00F77797"/>
    <w:rsid w:val="00F779A2"/>
    <w:rsid w:val="00F77B50"/>
    <w:rsid w:val="00F831EE"/>
    <w:rsid w:val="00F92031"/>
    <w:rsid w:val="00F92BEE"/>
    <w:rsid w:val="00FA3CD9"/>
    <w:rsid w:val="00FE1748"/>
    <w:rsid w:val="00FF18B3"/>
    <w:rsid w:val="00FF7735"/>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lang w:eastAsia="en-US"/>
    </w:rPr>
  </w:style>
  <w:style w:type="paragraph" w:styleId="Heading1">
    <w:name w:val="heading 1"/>
    <w:basedOn w:val="Normal"/>
    <w:link w:val="Heading1Char"/>
    <w:qFormat/>
    <w:rsid w:val="003F179D"/>
    <w:pPr>
      <w:keepNext/>
      <w:numPr>
        <w:numId w:val="2"/>
      </w:numPr>
      <w:spacing w:before="320" w:line="300" w:lineRule="atLeast"/>
      <w:jc w:val="both"/>
      <w:outlineLvl w:val="0"/>
    </w:pPr>
    <w:rPr>
      <w:b/>
      <w:smallCaps/>
      <w:kern w:val="28"/>
      <w:sz w:val="22"/>
      <w:szCs w:val="20"/>
    </w:rPr>
  </w:style>
  <w:style w:type="paragraph" w:styleId="Heading2">
    <w:name w:val="heading 2"/>
    <w:basedOn w:val="Normal"/>
    <w:link w:val="Heading2Char"/>
    <w:qFormat/>
    <w:rsid w:val="003F179D"/>
    <w:pPr>
      <w:numPr>
        <w:ilvl w:val="1"/>
        <w:numId w:val="2"/>
      </w:numPr>
      <w:spacing w:before="280" w:after="120" w:line="300" w:lineRule="atLeast"/>
      <w:jc w:val="both"/>
      <w:outlineLvl w:val="1"/>
    </w:pPr>
    <w:rPr>
      <w:color w:val="000000"/>
      <w:sz w:val="22"/>
      <w:szCs w:val="20"/>
    </w:rPr>
  </w:style>
  <w:style w:type="paragraph" w:styleId="Heading3">
    <w:name w:val="heading 3"/>
    <w:basedOn w:val="Normal"/>
    <w:link w:val="Heading3Char"/>
    <w:qFormat/>
    <w:rsid w:val="003F179D"/>
    <w:pPr>
      <w:numPr>
        <w:ilvl w:val="2"/>
        <w:numId w:val="2"/>
      </w:numPr>
      <w:spacing w:after="120" w:line="300" w:lineRule="atLeast"/>
      <w:jc w:val="both"/>
      <w:outlineLvl w:val="2"/>
    </w:pPr>
    <w:rPr>
      <w:sz w:val="22"/>
      <w:szCs w:val="20"/>
    </w:rPr>
  </w:style>
  <w:style w:type="paragraph" w:styleId="Heading4">
    <w:name w:val="heading 4"/>
    <w:basedOn w:val="Normal"/>
    <w:link w:val="Heading4Char"/>
    <w:qFormat/>
    <w:rsid w:val="003F179D"/>
    <w:pPr>
      <w:numPr>
        <w:ilvl w:val="3"/>
        <w:numId w:val="2"/>
      </w:numPr>
      <w:tabs>
        <w:tab w:val="left" w:pos="2261"/>
      </w:tabs>
      <w:spacing w:after="120" w:line="300" w:lineRule="atLeast"/>
      <w:jc w:val="both"/>
      <w:outlineLvl w:val="3"/>
    </w:pPr>
    <w:rPr>
      <w:sz w:val="22"/>
      <w:szCs w:val="20"/>
    </w:rPr>
  </w:style>
  <w:style w:type="paragraph" w:styleId="Heading5">
    <w:name w:val="heading 5"/>
    <w:basedOn w:val="Normal"/>
    <w:link w:val="Heading5Char"/>
    <w:qFormat/>
    <w:rsid w:val="003F179D"/>
    <w:pPr>
      <w:numPr>
        <w:ilvl w:val="4"/>
        <w:numId w:val="2"/>
      </w:numPr>
      <w:spacing w:after="120" w:line="300" w:lineRule="atLeast"/>
      <w:jc w:val="both"/>
      <w:outlineLvl w:val="4"/>
    </w:pPr>
    <w:rPr>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D5854"/>
    <w:rPr>
      <w:rFonts w:ascii="Lucida Grande" w:hAnsi="Lucida Grande"/>
      <w:sz w:val="18"/>
      <w:szCs w:val="18"/>
    </w:rPr>
  </w:style>
  <w:style w:type="paragraph" w:styleId="Header">
    <w:name w:val="header"/>
    <w:basedOn w:val="Normal"/>
    <w:link w:val="HeaderChar"/>
    <w:rsid w:val="00DD2689"/>
    <w:pPr>
      <w:tabs>
        <w:tab w:val="center" w:pos="4320"/>
        <w:tab w:val="right" w:pos="8640"/>
      </w:tabs>
    </w:pPr>
  </w:style>
  <w:style w:type="paragraph" w:styleId="Footer">
    <w:name w:val="footer"/>
    <w:basedOn w:val="Normal"/>
    <w:link w:val="FooterChar"/>
    <w:uiPriority w:val="99"/>
    <w:rsid w:val="00DD2689"/>
    <w:pPr>
      <w:tabs>
        <w:tab w:val="center" w:pos="4320"/>
        <w:tab w:val="right" w:pos="8640"/>
      </w:tabs>
    </w:pPr>
  </w:style>
  <w:style w:type="character" w:styleId="Hyperlink">
    <w:name w:val="Hyperlink"/>
    <w:rsid w:val="00DD2689"/>
    <w:rPr>
      <w:color w:val="0000FF"/>
      <w:u w:val="single"/>
    </w:rPr>
  </w:style>
  <w:style w:type="table" w:styleId="TableGrid">
    <w:name w:val="Table Grid"/>
    <w:basedOn w:val="TableNormal"/>
    <w:uiPriority w:val="39"/>
    <w:rsid w:val="00DD2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eckbox">
    <w:name w:val="Checkbox"/>
    <w:rsid w:val="0084709E"/>
    <w:rPr>
      <w:rFonts w:ascii="Times New Roman" w:hAnsi="Times New Roman"/>
      <w:spacing w:val="0"/>
      <w:sz w:val="22"/>
    </w:rPr>
  </w:style>
  <w:style w:type="paragraph" w:customStyle="1" w:styleId="MessageHeaderLast">
    <w:name w:val="Message Header Last"/>
    <w:basedOn w:val="MessageHeader"/>
    <w:next w:val="BodyText"/>
    <w:rsid w:val="0084709E"/>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181"/>
        <w:tab w:val="left" w:pos="2765"/>
        <w:tab w:val="left" w:pos="4853"/>
        <w:tab w:val="right" w:pos="8309"/>
      </w:tabs>
      <w:overflowPunct w:val="0"/>
      <w:autoSpaceDE w:val="0"/>
      <w:autoSpaceDN w:val="0"/>
      <w:adjustRightInd w:val="0"/>
      <w:spacing w:before="120" w:after="120" w:line="440" w:lineRule="atLeast"/>
      <w:ind w:left="0" w:firstLine="0"/>
      <w:textAlignment w:val="baseline"/>
    </w:pPr>
    <w:rPr>
      <w:spacing w:val="-5"/>
      <w:sz w:val="20"/>
      <w:szCs w:val="20"/>
      <w:lang w:eastAsia="en-GB"/>
    </w:rPr>
  </w:style>
  <w:style w:type="paragraph" w:styleId="MessageHeader">
    <w:name w:val="Message Header"/>
    <w:basedOn w:val="Normal"/>
    <w:rsid w:val="0084709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BodyText">
    <w:name w:val="Body Text"/>
    <w:basedOn w:val="Normal"/>
    <w:rsid w:val="0084709E"/>
    <w:pPr>
      <w:spacing w:after="120"/>
    </w:pPr>
  </w:style>
  <w:style w:type="character" w:styleId="PageNumber">
    <w:name w:val="page number"/>
    <w:basedOn w:val="DefaultParagraphFont"/>
    <w:rsid w:val="00FE2C7F"/>
  </w:style>
  <w:style w:type="paragraph" w:customStyle="1" w:styleId="Bodycopy">
    <w:name w:val="Bodycopy"/>
    <w:basedOn w:val="Normal"/>
    <w:link w:val="BodycopyChar"/>
    <w:qFormat/>
    <w:rsid w:val="00A419F7"/>
    <w:pPr>
      <w:spacing w:before="120" w:after="180"/>
      <w:ind w:left="-113"/>
    </w:pPr>
    <w:rPr>
      <w:rFonts w:ascii="Calibri" w:hAnsi="Calibri" w:cs="Arial"/>
      <w:sz w:val="22"/>
      <w:szCs w:val="22"/>
    </w:rPr>
  </w:style>
  <w:style w:type="character" w:styleId="FollowedHyperlink">
    <w:name w:val="FollowedHyperlink"/>
    <w:uiPriority w:val="99"/>
    <w:semiHidden/>
    <w:unhideWhenUsed/>
    <w:rsid w:val="005E0BF1"/>
    <w:rPr>
      <w:color w:val="800080"/>
      <w:u w:val="single"/>
    </w:rPr>
  </w:style>
  <w:style w:type="character" w:customStyle="1" w:styleId="BodycopyChar">
    <w:name w:val="Bodycopy Char"/>
    <w:link w:val="Bodycopy"/>
    <w:rsid w:val="00A419F7"/>
    <w:rPr>
      <w:rFonts w:ascii="Calibri" w:hAnsi="Calibri" w:cs="Arial"/>
      <w:sz w:val="22"/>
      <w:szCs w:val="22"/>
      <w:lang w:eastAsia="en-US"/>
    </w:rPr>
  </w:style>
  <w:style w:type="character" w:customStyle="1" w:styleId="Heading1Char">
    <w:name w:val="Heading 1 Char"/>
    <w:link w:val="Heading1"/>
    <w:rsid w:val="003F179D"/>
    <w:rPr>
      <w:b/>
      <w:smallCaps/>
      <w:kern w:val="28"/>
      <w:sz w:val="22"/>
      <w:lang w:eastAsia="en-US"/>
    </w:rPr>
  </w:style>
  <w:style w:type="character" w:customStyle="1" w:styleId="Heading2Char">
    <w:name w:val="Heading 2 Char"/>
    <w:link w:val="Heading2"/>
    <w:rsid w:val="003F179D"/>
    <w:rPr>
      <w:color w:val="000000"/>
      <w:sz w:val="22"/>
      <w:lang w:eastAsia="en-US"/>
    </w:rPr>
  </w:style>
  <w:style w:type="character" w:customStyle="1" w:styleId="Heading3Char">
    <w:name w:val="Heading 3 Char"/>
    <w:link w:val="Heading3"/>
    <w:rsid w:val="003F179D"/>
    <w:rPr>
      <w:sz w:val="22"/>
      <w:lang w:eastAsia="en-US"/>
    </w:rPr>
  </w:style>
  <w:style w:type="character" w:customStyle="1" w:styleId="Heading4Char">
    <w:name w:val="Heading 4 Char"/>
    <w:link w:val="Heading4"/>
    <w:rsid w:val="003F179D"/>
    <w:rPr>
      <w:sz w:val="22"/>
      <w:lang w:eastAsia="en-US"/>
    </w:rPr>
  </w:style>
  <w:style w:type="character" w:customStyle="1" w:styleId="Heading5Char">
    <w:name w:val="Heading 5 Char"/>
    <w:link w:val="Heading5"/>
    <w:rsid w:val="003F179D"/>
    <w:rPr>
      <w:sz w:val="22"/>
      <w:lang w:eastAsia="en-US"/>
    </w:rPr>
  </w:style>
  <w:style w:type="character" w:customStyle="1" w:styleId="HeaderChar">
    <w:name w:val="Header Char"/>
    <w:link w:val="Header"/>
    <w:rsid w:val="00844EEA"/>
    <w:rPr>
      <w:sz w:val="24"/>
      <w:szCs w:val="24"/>
      <w:lang w:eastAsia="en-US"/>
    </w:rPr>
  </w:style>
  <w:style w:type="character" w:customStyle="1" w:styleId="FooterChar">
    <w:name w:val="Footer Char"/>
    <w:link w:val="Footer"/>
    <w:uiPriority w:val="99"/>
    <w:rsid w:val="00844EEA"/>
    <w:rPr>
      <w:sz w:val="24"/>
      <w:szCs w:val="24"/>
      <w:lang w:eastAsia="en-US"/>
    </w:rPr>
  </w:style>
  <w:style w:type="paragraph" w:customStyle="1" w:styleId="AddressLine">
    <w:name w:val="Address Line"/>
    <w:autoRedefine/>
    <w:rsid w:val="00844EEA"/>
    <w:rPr>
      <w:rFonts w:ascii="Calibri" w:hAnsi="Calibri"/>
      <w:bCs/>
      <w:sz w:val="22"/>
      <w:szCs w:val="22"/>
      <w:lang w:eastAsia="en-US"/>
    </w:rPr>
  </w:style>
  <w:style w:type="paragraph" w:customStyle="1" w:styleId="ColorfulList-Accent11">
    <w:name w:val="Colorful List - Accent 11"/>
    <w:basedOn w:val="Normal"/>
    <w:uiPriority w:val="34"/>
    <w:qFormat/>
    <w:rsid w:val="00844EEA"/>
    <w:pPr>
      <w:widowControl w:val="0"/>
      <w:autoSpaceDE w:val="0"/>
      <w:autoSpaceDN w:val="0"/>
      <w:adjustRightInd w:val="0"/>
      <w:ind w:left="720"/>
      <w:contextualSpacing/>
    </w:pPr>
    <w:rPr>
      <w:lang w:eastAsia="en-GB"/>
    </w:rPr>
  </w:style>
  <w:style w:type="paragraph" w:styleId="NormalWeb">
    <w:name w:val="Normal (Web)"/>
    <w:basedOn w:val="Normal"/>
    <w:uiPriority w:val="99"/>
    <w:unhideWhenUsed/>
    <w:rsid w:val="00E41B33"/>
    <w:pPr>
      <w:spacing w:before="100" w:beforeAutospacing="1" w:after="100" w:afterAutospacing="1"/>
    </w:pPr>
    <w:rPr>
      <w:lang w:eastAsia="en-GB"/>
    </w:rPr>
  </w:style>
  <w:style w:type="character" w:styleId="CommentReference">
    <w:name w:val="annotation reference"/>
    <w:uiPriority w:val="99"/>
    <w:semiHidden/>
    <w:unhideWhenUsed/>
    <w:rsid w:val="001F4AD8"/>
    <w:rPr>
      <w:sz w:val="16"/>
      <w:szCs w:val="16"/>
    </w:rPr>
  </w:style>
  <w:style w:type="paragraph" w:styleId="CommentText">
    <w:name w:val="annotation text"/>
    <w:basedOn w:val="Normal"/>
    <w:link w:val="CommentTextChar"/>
    <w:uiPriority w:val="99"/>
    <w:semiHidden/>
    <w:unhideWhenUsed/>
    <w:rsid w:val="001F4AD8"/>
    <w:rPr>
      <w:sz w:val="20"/>
      <w:szCs w:val="20"/>
    </w:rPr>
  </w:style>
  <w:style w:type="character" w:customStyle="1" w:styleId="CommentTextChar">
    <w:name w:val="Comment Text Char"/>
    <w:link w:val="CommentText"/>
    <w:uiPriority w:val="99"/>
    <w:semiHidden/>
    <w:rsid w:val="001F4AD8"/>
    <w:rPr>
      <w:lang w:eastAsia="en-US"/>
    </w:rPr>
  </w:style>
  <w:style w:type="paragraph" w:styleId="CommentSubject">
    <w:name w:val="annotation subject"/>
    <w:basedOn w:val="CommentText"/>
    <w:next w:val="CommentText"/>
    <w:link w:val="CommentSubjectChar"/>
    <w:uiPriority w:val="99"/>
    <w:semiHidden/>
    <w:unhideWhenUsed/>
    <w:rsid w:val="001F4AD8"/>
    <w:rPr>
      <w:b/>
      <w:bCs/>
    </w:rPr>
  </w:style>
  <w:style w:type="character" w:customStyle="1" w:styleId="CommentSubjectChar">
    <w:name w:val="Comment Subject Char"/>
    <w:link w:val="CommentSubject"/>
    <w:uiPriority w:val="99"/>
    <w:semiHidden/>
    <w:rsid w:val="001F4AD8"/>
    <w:rPr>
      <w:b/>
      <w:bCs/>
      <w:lang w:eastAsia="en-US"/>
    </w:rPr>
  </w:style>
  <w:style w:type="paragraph" w:customStyle="1" w:styleId="Default">
    <w:name w:val="Default"/>
    <w:rsid w:val="00F92BEE"/>
    <w:pPr>
      <w:autoSpaceDE w:val="0"/>
      <w:autoSpaceDN w:val="0"/>
      <w:adjustRightInd w:val="0"/>
    </w:pPr>
    <w:rPr>
      <w:rFonts w:ascii="YVTEC P+ Meta Plus Black" w:hAnsi="YVTEC P+ Meta Plus Black" w:cs="YVTEC P+ Meta Plus Black"/>
      <w:color w:val="000000"/>
      <w:sz w:val="24"/>
      <w:szCs w:val="24"/>
    </w:rPr>
  </w:style>
  <w:style w:type="character" w:customStyle="1" w:styleId="A1">
    <w:name w:val="A1"/>
    <w:uiPriority w:val="99"/>
    <w:rsid w:val="00F92BEE"/>
    <w:rPr>
      <w:rFonts w:cs="YVTEC P+ Meta Plus Black"/>
      <w:b/>
      <w:bCs/>
      <w:color w:val="000000"/>
      <w:sz w:val="48"/>
      <w:szCs w:val="48"/>
    </w:rPr>
  </w:style>
  <w:style w:type="paragraph" w:styleId="PlainText">
    <w:name w:val="Plain Text"/>
    <w:basedOn w:val="Normal"/>
    <w:link w:val="PlainTextChar"/>
    <w:uiPriority w:val="99"/>
    <w:semiHidden/>
    <w:unhideWhenUsed/>
    <w:rsid w:val="007A2C6E"/>
    <w:rPr>
      <w:rFonts w:ascii="Calibri" w:eastAsia="Calibri" w:hAnsi="Calibri"/>
      <w:sz w:val="22"/>
      <w:szCs w:val="21"/>
    </w:rPr>
  </w:style>
  <w:style w:type="character" w:customStyle="1" w:styleId="PlainTextChar">
    <w:name w:val="Plain Text Char"/>
    <w:link w:val="PlainText"/>
    <w:uiPriority w:val="99"/>
    <w:semiHidden/>
    <w:rsid w:val="007A2C6E"/>
    <w:rPr>
      <w:rFonts w:ascii="Calibri" w:eastAsia="Calibri" w:hAnsi="Calibri"/>
      <w:sz w:val="22"/>
      <w:szCs w:val="21"/>
      <w:lang w:eastAsia="en-US"/>
    </w:rPr>
  </w:style>
  <w:style w:type="paragraph" w:styleId="ListParagraph">
    <w:name w:val="List Paragraph"/>
    <w:basedOn w:val="Normal"/>
    <w:uiPriority w:val="34"/>
    <w:qFormat/>
    <w:rsid w:val="008E648B"/>
    <w:pPr>
      <w:ind w:left="720"/>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lang w:eastAsia="en-US"/>
    </w:rPr>
  </w:style>
  <w:style w:type="paragraph" w:styleId="Heading1">
    <w:name w:val="heading 1"/>
    <w:basedOn w:val="Normal"/>
    <w:link w:val="Heading1Char"/>
    <w:qFormat/>
    <w:rsid w:val="003F179D"/>
    <w:pPr>
      <w:keepNext/>
      <w:numPr>
        <w:numId w:val="2"/>
      </w:numPr>
      <w:spacing w:before="320" w:line="300" w:lineRule="atLeast"/>
      <w:jc w:val="both"/>
      <w:outlineLvl w:val="0"/>
    </w:pPr>
    <w:rPr>
      <w:b/>
      <w:smallCaps/>
      <w:kern w:val="28"/>
      <w:sz w:val="22"/>
      <w:szCs w:val="20"/>
    </w:rPr>
  </w:style>
  <w:style w:type="paragraph" w:styleId="Heading2">
    <w:name w:val="heading 2"/>
    <w:basedOn w:val="Normal"/>
    <w:link w:val="Heading2Char"/>
    <w:qFormat/>
    <w:rsid w:val="003F179D"/>
    <w:pPr>
      <w:numPr>
        <w:ilvl w:val="1"/>
        <w:numId w:val="2"/>
      </w:numPr>
      <w:spacing w:before="280" w:after="120" w:line="300" w:lineRule="atLeast"/>
      <w:jc w:val="both"/>
      <w:outlineLvl w:val="1"/>
    </w:pPr>
    <w:rPr>
      <w:color w:val="000000"/>
      <w:sz w:val="22"/>
      <w:szCs w:val="20"/>
    </w:rPr>
  </w:style>
  <w:style w:type="paragraph" w:styleId="Heading3">
    <w:name w:val="heading 3"/>
    <w:basedOn w:val="Normal"/>
    <w:link w:val="Heading3Char"/>
    <w:qFormat/>
    <w:rsid w:val="003F179D"/>
    <w:pPr>
      <w:numPr>
        <w:ilvl w:val="2"/>
        <w:numId w:val="2"/>
      </w:numPr>
      <w:spacing w:after="120" w:line="300" w:lineRule="atLeast"/>
      <w:jc w:val="both"/>
      <w:outlineLvl w:val="2"/>
    </w:pPr>
    <w:rPr>
      <w:sz w:val="22"/>
      <w:szCs w:val="20"/>
    </w:rPr>
  </w:style>
  <w:style w:type="paragraph" w:styleId="Heading4">
    <w:name w:val="heading 4"/>
    <w:basedOn w:val="Normal"/>
    <w:link w:val="Heading4Char"/>
    <w:qFormat/>
    <w:rsid w:val="003F179D"/>
    <w:pPr>
      <w:numPr>
        <w:ilvl w:val="3"/>
        <w:numId w:val="2"/>
      </w:numPr>
      <w:tabs>
        <w:tab w:val="left" w:pos="2261"/>
      </w:tabs>
      <w:spacing w:after="120" w:line="300" w:lineRule="atLeast"/>
      <w:jc w:val="both"/>
      <w:outlineLvl w:val="3"/>
    </w:pPr>
    <w:rPr>
      <w:sz w:val="22"/>
      <w:szCs w:val="20"/>
    </w:rPr>
  </w:style>
  <w:style w:type="paragraph" w:styleId="Heading5">
    <w:name w:val="heading 5"/>
    <w:basedOn w:val="Normal"/>
    <w:link w:val="Heading5Char"/>
    <w:qFormat/>
    <w:rsid w:val="003F179D"/>
    <w:pPr>
      <w:numPr>
        <w:ilvl w:val="4"/>
        <w:numId w:val="2"/>
      </w:numPr>
      <w:spacing w:after="120" w:line="300" w:lineRule="atLeast"/>
      <w:jc w:val="both"/>
      <w:outlineLvl w:val="4"/>
    </w:pPr>
    <w:rPr>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D5854"/>
    <w:rPr>
      <w:rFonts w:ascii="Lucida Grande" w:hAnsi="Lucida Grande"/>
      <w:sz w:val="18"/>
      <w:szCs w:val="18"/>
    </w:rPr>
  </w:style>
  <w:style w:type="paragraph" w:styleId="Header">
    <w:name w:val="header"/>
    <w:basedOn w:val="Normal"/>
    <w:link w:val="HeaderChar"/>
    <w:rsid w:val="00DD2689"/>
    <w:pPr>
      <w:tabs>
        <w:tab w:val="center" w:pos="4320"/>
        <w:tab w:val="right" w:pos="8640"/>
      </w:tabs>
    </w:pPr>
  </w:style>
  <w:style w:type="paragraph" w:styleId="Footer">
    <w:name w:val="footer"/>
    <w:basedOn w:val="Normal"/>
    <w:link w:val="FooterChar"/>
    <w:uiPriority w:val="99"/>
    <w:rsid w:val="00DD2689"/>
    <w:pPr>
      <w:tabs>
        <w:tab w:val="center" w:pos="4320"/>
        <w:tab w:val="right" w:pos="8640"/>
      </w:tabs>
    </w:pPr>
  </w:style>
  <w:style w:type="character" w:styleId="Hyperlink">
    <w:name w:val="Hyperlink"/>
    <w:rsid w:val="00DD2689"/>
    <w:rPr>
      <w:color w:val="0000FF"/>
      <w:u w:val="single"/>
    </w:rPr>
  </w:style>
  <w:style w:type="table" w:styleId="TableGrid">
    <w:name w:val="Table Grid"/>
    <w:basedOn w:val="TableNormal"/>
    <w:uiPriority w:val="39"/>
    <w:rsid w:val="00DD2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eckbox">
    <w:name w:val="Checkbox"/>
    <w:rsid w:val="0084709E"/>
    <w:rPr>
      <w:rFonts w:ascii="Times New Roman" w:hAnsi="Times New Roman"/>
      <w:spacing w:val="0"/>
      <w:sz w:val="22"/>
    </w:rPr>
  </w:style>
  <w:style w:type="paragraph" w:customStyle="1" w:styleId="MessageHeaderLast">
    <w:name w:val="Message Header Last"/>
    <w:basedOn w:val="MessageHeader"/>
    <w:next w:val="BodyText"/>
    <w:rsid w:val="0084709E"/>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181"/>
        <w:tab w:val="left" w:pos="2765"/>
        <w:tab w:val="left" w:pos="4853"/>
        <w:tab w:val="right" w:pos="8309"/>
      </w:tabs>
      <w:overflowPunct w:val="0"/>
      <w:autoSpaceDE w:val="0"/>
      <w:autoSpaceDN w:val="0"/>
      <w:adjustRightInd w:val="0"/>
      <w:spacing w:before="120" w:after="120" w:line="440" w:lineRule="atLeast"/>
      <w:ind w:left="0" w:firstLine="0"/>
      <w:textAlignment w:val="baseline"/>
    </w:pPr>
    <w:rPr>
      <w:spacing w:val="-5"/>
      <w:sz w:val="20"/>
      <w:szCs w:val="20"/>
      <w:lang w:eastAsia="en-GB"/>
    </w:rPr>
  </w:style>
  <w:style w:type="paragraph" w:styleId="MessageHeader">
    <w:name w:val="Message Header"/>
    <w:basedOn w:val="Normal"/>
    <w:rsid w:val="0084709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BodyText">
    <w:name w:val="Body Text"/>
    <w:basedOn w:val="Normal"/>
    <w:rsid w:val="0084709E"/>
    <w:pPr>
      <w:spacing w:after="120"/>
    </w:pPr>
  </w:style>
  <w:style w:type="character" w:styleId="PageNumber">
    <w:name w:val="page number"/>
    <w:basedOn w:val="DefaultParagraphFont"/>
    <w:rsid w:val="00FE2C7F"/>
  </w:style>
  <w:style w:type="paragraph" w:customStyle="1" w:styleId="Bodycopy">
    <w:name w:val="Bodycopy"/>
    <w:basedOn w:val="Normal"/>
    <w:link w:val="BodycopyChar"/>
    <w:qFormat/>
    <w:rsid w:val="00A419F7"/>
    <w:pPr>
      <w:spacing w:before="120" w:after="180"/>
      <w:ind w:left="-113"/>
    </w:pPr>
    <w:rPr>
      <w:rFonts w:ascii="Calibri" w:hAnsi="Calibri" w:cs="Arial"/>
      <w:sz w:val="22"/>
      <w:szCs w:val="22"/>
    </w:rPr>
  </w:style>
  <w:style w:type="character" w:styleId="FollowedHyperlink">
    <w:name w:val="FollowedHyperlink"/>
    <w:uiPriority w:val="99"/>
    <w:semiHidden/>
    <w:unhideWhenUsed/>
    <w:rsid w:val="005E0BF1"/>
    <w:rPr>
      <w:color w:val="800080"/>
      <w:u w:val="single"/>
    </w:rPr>
  </w:style>
  <w:style w:type="character" w:customStyle="1" w:styleId="BodycopyChar">
    <w:name w:val="Bodycopy Char"/>
    <w:link w:val="Bodycopy"/>
    <w:rsid w:val="00A419F7"/>
    <w:rPr>
      <w:rFonts w:ascii="Calibri" w:hAnsi="Calibri" w:cs="Arial"/>
      <w:sz w:val="22"/>
      <w:szCs w:val="22"/>
      <w:lang w:eastAsia="en-US"/>
    </w:rPr>
  </w:style>
  <w:style w:type="character" w:customStyle="1" w:styleId="Heading1Char">
    <w:name w:val="Heading 1 Char"/>
    <w:link w:val="Heading1"/>
    <w:rsid w:val="003F179D"/>
    <w:rPr>
      <w:b/>
      <w:smallCaps/>
      <w:kern w:val="28"/>
      <w:sz w:val="22"/>
      <w:lang w:eastAsia="en-US"/>
    </w:rPr>
  </w:style>
  <w:style w:type="character" w:customStyle="1" w:styleId="Heading2Char">
    <w:name w:val="Heading 2 Char"/>
    <w:link w:val="Heading2"/>
    <w:rsid w:val="003F179D"/>
    <w:rPr>
      <w:color w:val="000000"/>
      <w:sz w:val="22"/>
      <w:lang w:eastAsia="en-US"/>
    </w:rPr>
  </w:style>
  <w:style w:type="character" w:customStyle="1" w:styleId="Heading3Char">
    <w:name w:val="Heading 3 Char"/>
    <w:link w:val="Heading3"/>
    <w:rsid w:val="003F179D"/>
    <w:rPr>
      <w:sz w:val="22"/>
      <w:lang w:eastAsia="en-US"/>
    </w:rPr>
  </w:style>
  <w:style w:type="character" w:customStyle="1" w:styleId="Heading4Char">
    <w:name w:val="Heading 4 Char"/>
    <w:link w:val="Heading4"/>
    <w:rsid w:val="003F179D"/>
    <w:rPr>
      <w:sz w:val="22"/>
      <w:lang w:eastAsia="en-US"/>
    </w:rPr>
  </w:style>
  <w:style w:type="character" w:customStyle="1" w:styleId="Heading5Char">
    <w:name w:val="Heading 5 Char"/>
    <w:link w:val="Heading5"/>
    <w:rsid w:val="003F179D"/>
    <w:rPr>
      <w:sz w:val="22"/>
      <w:lang w:eastAsia="en-US"/>
    </w:rPr>
  </w:style>
  <w:style w:type="character" w:customStyle="1" w:styleId="HeaderChar">
    <w:name w:val="Header Char"/>
    <w:link w:val="Header"/>
    <w:rsid w:val="00844EEA"/>
    <w:rPr>
      <w:sz w:val="24"/>
      <w:szCs w:val="24"/>
      <w:lang w:eastAsia="en-US"/>
    </w:rPr>
  </w:style>
  <w:style w:type="character" w:customStyle="1" w:styleId="FooterChar">
    <w:name w:val="Footer Char"/>
    <w:link w:val="Footer"/>
    <w:uiPriority w:val="99"/>
    <w:rsid w:val="00844EEA"/>
    <w:rPr>
      <w:sz w:val="24"/>
      <w:szCs w:val="24"/>
      <w:lang w:eastAsia="en-US"/>
    </w:rPr>
  </w:style>
  <w:style w:type="paragraph" w:customStyle="1" w:styleId="AddressLine">
    <w:name w:val="Address Line"/>
    <w:autoRedefine/>
    <w:rsid w:val="00844EEA"/>
    <w:rPr>
      <w:rFonts w:ascii="Calibri" w:hAnsi="Calibri"/>
      <w:bCs/>
      <w:sz w:val="22"/>
      <w:szCs w:val="22"/>
      <w:lang w:eastAsia="en-US"/>
    </w:rPr>
  </w:style>
  <w:style w:type="paragraph" w:customStyle="1" w:styleId="ColorfulList-Accent11">
    <w:name w:val="Colorful List - Accent 11"/>
    <w:basedOn w:val="Normal"/>
    <w:uiPriority w:val="34"/>
    <w:qFormat/>
    <w:rsid w:val="00844EEA"/>
    <w:pPr>
      <w:widowControl w:val="0"/>
      <w:autoSpaceDE w:val="0"/>
      <w:autoSpaceDN w:val="0"/>
      <w:adjustRightInd w:val="0"/>
      <w:ind w:left="720"/>
      <w:contextualSpacing/>
    </w:pPr>
    <w:rPr>
      <w:lang w:eastAsia="en-GB"/>
    </w:rPr>
  </w:style>
  <w:style w:type="paragraph" w:styleId="NormalWeb">
    <w:name w:val="Normal (Web)"/>
    <w:basedOn w:val="Normal"/>
    <w:uiPriority w:val="99"/>
    <w:unhideWhenUsed/>
    <w:rsid w:val="00E41B33"/>
    <w:pPr>
      <w:spacing w:before="100" w:beforeAutospacing="1" w:after="100" w:afterAutospacing="1"/>
    </w:pPr>
    <w:rPr>
      <w:lang w:eastAsia="en-GB"/>
    </w:rPr>
  </w:style>
  <w:style w:type="character" w:styleId="CommentReference">
    <w:name w:val="annotation reference"/>
    <w:uiPriority w:val="99"/>
    <w:semiHidden/>
    <w:unhideWhenUsed/>
    <w:rsid w:val="001F4AD8"/>
    <w:rPr>
      <w:sz w:val="16"/>
      <w:szCs w:val="16"/>
    </w:rPr>
  </w:style>
  <w:style w:type="paragraph" w:styleId="CommentText">
    <w:name w:val="annotation text"/>
    <w:basedOn w:val="Normal"/>
    <w:link w:val="CommentTextChar"/>
    <w:uiPriority w:val="99"/>
    <w:semiHidden/>
    <w:unhideWhenUsed/>
    <w:rsid w:val="001F4AD8"/>
    <w:rPr>
      <w:sz w:val="20"/>
      <w:szCs w:val="20"/>
    </w:rPr>
  </w:style>
  <w:style w:type="character" w:customStyle="1" w:styleId="CommentTextChar">
    <w:name w:val="Comment Text Char"/>
    <w:link w:val="CommentText"/>
    <w:uiPriority w:val="99"/>
    <w:semiHidden/>
    <w:rsid w:val="001F4AD8"/>
    <w:rPr>
      <w:lang w:eastAsia="en-US"/>
    </w:rPr>
  </w:style>
  <w:style w:type="paragraph" w:styleId="CommentSubject">
    <w:name w:val="annotation subject"/>
    <w:basedOn w:val="CommentText"/>
    <w:next w:val="CommentText"/>
    <w:link w:val="CommentSubjectChar"/>
    <w:uiPriority w:val="99"/>
    <w:semiHidden/>
    <w:unhideWhenUsed/>
    <w:rsid w:val="001F4AD8"/>
    <w:rPr>
      <w:b/>
      <w:bCs/>
    </w:rPr>
  </w:style>
  <w:style w:type="character" w:customStyle="1" w:styleId="CommentSubjectChar">
    <w:name w:val="Comment Subject Char"/>
    <w:link w:val="CommentSubject"/>
    <w:uiPriority w:val="99"/>
    <w:semiHidden/>
    <w:rsid w:val="001F4AD8"/>
    <w:rPr>
      <w:b/>
      <w:bCs/>
      <w:lang w:eastAsia="en-US"/>
    </w:rPr>
  </w:style>
  <w:style w:type="paragraph" w:customStyle="1" w:styleId="Default">
    <w:name w:val="Default"/>
    <w:rsid w:val="00F92BEE"/>
    <w:pPr>
      <w:autoSpaceDE w:val="0"/>
      <w:autoSpaceDN w:val="0"/>
      <w:adjustRightInd w:val="0"/>
    </w:pPr>
    <w:rPr>
      <w:rFonts w:ascii="YVTEC P+ Meta Plus Black" w:hAnsi="YVTEC P+ Meta Plus Black" w:cs="YVTEC P+ Meta Plus Black"/>
      <w:color w:val="000000"/>
      <w:sz w:val="24"/>
      <w:szCs w:val="24"/>
    </w:rPr>
  </w:style>
  <w:style w:type="character" w:customStyle="1" w:styleId="A1">
    <w:name w:val="A1"/>
    <w:uiPriority w:val="99"/>
    <w:rsid w:val="00F92BEE"/>
    <w:rPr>
      <w:rFonts w:cs="YVTEC P+ Meta Plus Black"/>
      <w:b/>
      <w:bCs/>
      <w:color w:val="000000"/>
      <w:sz w:val="48"/>
      <w:szCs w:val="48"/>
    </w:rPr>
  </w:style>
  <w:style w:type="paragraph" w:styleId="PlainText">
    <w:name w:val="Plain Text"/>
    <w:basedOn w:val="Normal"/>
    <w:link w:val="PlainTextChar"/>
    <w:uiPriority w:val="99"/>
    <w:semiHidden/>
    <w:unhideWhenUsed/>
    <w:rsid w:val="007A2C6E"/>
    <w:rPr>
      <w:rFonts w:ascii="Calibri" w:eastAsia="Calibri" w:hAnsi="Calibri"/>
      <w:sz w:val="22"/>
      <w:szCs w:val="21"/>
    </w:rPr>
  </w:style>
  <w:style w:type="character" w:customStyle="1" w:styleId="PlainTextChar">
    <w:name w:val="Plain Text Char"/>
    <w:link w:val="PlainText"/>
    <w:uiPriority w:val="99"/>
    <w:semiHidden/>
    <w:rsid w:val="007A2C6E"/>
    <w:rPr>
      <w:rFonts w:ascii="Calibri" w:eastAsia="Calibri" w:hAnsi="Calibri"/>
      <w:sz w:val="22"/>
      <w:szCs w:val="21"/>
      <w:lang w:eastAsia="en-US"/>
    </w:rPr>
  </w:style>
  <w:style w:type="paragraph" w:styleId="ListParagraph">
    <w:name w:val="List Paragraph"/>
    <w:basedOn w:val="Normal"/>
    <w:uiPriority w:val="34"/>
    <w:qFormat/>
    <w:rsid w:val="008E648B"/>
    <w:pPr>
      <w:ind w:left="72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69086">
      <w:bodyDiv w:val="1"/>
      <w:marLeft w:val="0"/>
      <w:marRight w:val="0"/>
      <w:marTop w:val="0"/>
      <w:marBottom w:val="0"/>
      <w:divBdr>
        <w:top w:val="none" w:sz="0" w:space="0" w:color="auto"/>
        <w:left w:val="none" w:sz="0" w:space="0" w:color="auto"/>
        <w:bottom w:val="none" w:sz="0" w:space="0" w:color="auto"/>
        <w:right w:val="none" w:sz="0" w:space="0" w:color="auto"/>
      </w:divBdr>
    </w:div>
    <w:div w:id="470094040">
      <w:bodyDiv w:val="1"/>
      <w:marLeft w:val="0"/>
      <w:marRight w:val="0"/>
      <w:marTop w:val="0"/>
      <w:marBottom w:val="0"/>
      <w:divBdr>
        <w:top w:val="none" w:sz="0" w:space="0" w:color="auto"/>
        <w:left w:val="none" w:sz="0" w:space="0" w:color="auto"/>
        <w:bottom w:val="none" w:sz="0" w:space="0" w:color="auto"/>
        <w:right w:val="none" w:sz="0" w:space="0" w:color="auto"/>
      </w:divBdr>
    </w:div>
    <w:div w:id="621771818">
      <w:bodyDiv w:val="1"/>
      <w:marLeft w:val="0"/>
      <w:marRight w:val="0"/>
      <w:marTop w:val="0"/>
      <w:marBottom w:val="0"/>
      <w:divBdr>
        <w:top w:val="none" w:sz="0" w:space="0" w:color="auto"/>
        <w:left w:val="none" w:sz="0" w:space="0" w:color="auto"/>
        <w:bottom w:val="none" w:sz="0" w:space="0" w:color="auto"/>
        <w:right w:val="none" w:sz="0" w:space="0" w:color="auto"/>
      </w:divBdr>
    </w:div>
    <w:div w:id="912856684">
      <w:bodyDiv w:val="1"/>
      <w:marLeft w:val="0"/>
      <w:marRight w:val="0"/>
      <w:marTop w:val="0"/>
      <w:marBottom w:val="0"/>
      <w:divBdr>
        <w:top w:val="none" w:sz="0" w:space="0" w:color="auto"/>
        <w:left w:val="none" w:sz="0" w:space="0" w:color="auto"/>
        <w:bottom w:val="none" w:sz="0" w:space="0" w:color="auto"/>
        <w:right w:val="none" w:sz="0" w:space="0" w:color="auto"/>
      </w:divBdr>
    </w:div>
    <w:div w:id="1015418436">
      <w:bodyDiv w:val="1"/>
      <w:marLeft w:val="0"/>
      <w:marRight w:val="0"/>
      <w:marTop w:val="0"/>
      <w:marBottom w:val="0"/>
      <w:divBdr>
        <w:top w:val="none" w:sz="0" w:space="0" w:color="auto"/>
        <w:left w:val="none" w:sz="0" w:space="0" w:color="auto"/>
        <w:bottom w:val="none" w:sz="0" w:space="0" w:color="auto"/>
        <w:right w:val="none" w:sz="0" w:space="0" w:color="auto"/>
      </w:divBdr>
    </w:div>
    <w:div w:id="1040083588">
      <w:bodyDiv w:val="1"/>
      <w:marLeft w:val="0"/>
      <w:marRight w:val="0"/>
      <w:marTop w:val="0"/>
      <w:marBottom w:val="0"/>
      <w:divBdr>
        <w:top w:val="none" w:sz="0" w:space="0" w:color="auto"/>
        <w:left w:val="none" w:sz="0" w:space="0" w:color="auto"/>
        <w:bottom w:val="none" w:sz="0" w:space="0" w:color="auto"/>
        <w:right w:val="none" w:sz="0" w:space="0" w:color="auto"/>
      </w:divBdr>
    </w:div>
    <w:div w:id="1126312778">
      <w:bodyDiv w:val="1"/>
      <w:marLeft w:val="0"/>
      <w:marRight w:val="0"/>
      <w:marTop w:val="0"/>
      <w:marBottom w:val="0"/>
      <w:divBdr>
        <w:top w:val="none" w:sz="0" w:space="0" w:color="auto"/>
        <w:left w:val="none" w:sz="0" w:space="0" w:color="auto"/>
        <w:bottom w:val="none" w:sz="0" w:space="0" w:color="auto"/>
        <w:right w:val="none" w:sz="0" w:space="0" w:color="auto"/>
      </w:divBdr>
    </w:div>
    <w:div w:id="1524781709">
      <w:bodyDiv w:val="1"/>
      <w:marLeft w:val="0"/>
      <w:marRight w:val="0"/>
      <w:marTop w:val="0"/>
      <w:marBottom w:val="0"/>
      <w:divBdr>
        <w:top w:val="none" w:sz="0" w:space="0" w:color="auto"/>
        <w:left w:val="none" w:sz="0" w:space="0" w:color="auto"/>
        <w:bottom w:val="none" w:sz="0" w:space="0" w:color="auto"/>
        <w:right w:val="none" w:sz="0" w:space="0" w:color="auto"/>
      </w:divBdr>
    </w:div>
    <w:div w:id="1729378828">
      <w:bodyDiv w:val="1"/>
      <w:marLeft w:val="0"/>
      <w:marRight w:val="0"/>
      <w:marTop w:val="0"/>
      <w:marBottom w:val="0"/>
      <w:divBdr>
        <w:top w:val="none" w:sz="0" w:space="0" w:color="auto"/>
        <w:left w:val="none" w:sz="0" w:space="0" w:color="auto"/>
        <w:bottom w:val="none" w:sz="0" w:space="0" w:color="auto"/>
        <w:right w:val="none" w:sz="0" w:space="0" w:color="auto"/>
      </w:divBdr>
    </w:div>
    <w:div w:id="19787575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thejag.org.uk/support" TargetMode="External"/><Relationship Id="rId4" Type="http://schemas.microsoft.com/office/2007/relationships/stylesWithEffects" Target="stylesWithEffects.xml"/><Relationship Id="rId9" Type="http://schemas.openxmlformats.org/officeDocument/2006/relationships/hyperlink" Target="https://ned.jets.nhs.uk/kpi/"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rcplondon.ac.u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rcplondon.ac.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F897D-514C-4D80-9D29-C6ADE2A37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4645</CharactersWithSpaces>
  <SharedDoc>false</SharedDoc>
  <HLinks>
    <vt:vector size="18" baseType="variant">
      <vt:variant>
        <vt:i4>8323100</vt:i4>
      </vt:variant>
      <vt:variant>
        <vt:i4>0</vt:i4>
      </vt:variant>
      <vt:variant>
        <vt:i4>0</vt:i4>
      </vt:variant>
      <vt:variant>
        <vt:i4>5</vt:i4>
      </vt:variant>
      <vt:variant>
        <vt:lpwstr>mailto:AskJAG@rcplondon.ac.uk</vt:lpwstr>
      </vt:variant>
      <vt:variant>
        <vt:lpwstr/>
      </vt:variant>
      <vt:variant>
        <vt:i4>4325448</vt:i4>
      </vt:variant>
      <vt:variant>
        <vt:i4>23</vt:i4>
      </vt:variant>
      <vt:variant>
        <vt:i4>0</vt:i4>
      </vt:variant>
      <vt:variant>
        <vt:i4>5</vt:i4>
      </vt:variant>
      <vt:variant>
        <vt:lpwstr>http://www.thejag.org.uk/</vt:lpwstr>
      </vt:variant>
      <vt:variant>
        <vt:lpwstr/>
      </vt:variant>
      <vt:variant>
        <vt:i4>4325448</vt:i4>
      </vt:variant>
      <vt:variant>
        <vt:i4>8</vt:i4>
      </vt:variant>
      <vt:variant>
        <vt:i4>0</vt:i4>
      </vt:variant>
      <vt:variant>
        <vt:i4>5</vt:i4>
      </vt:variant>
      <vt:variant>
        <vt:lpwstr>http://www.thejag.org.uk/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2018-01-09T12:00:00Z</dcterms:created>
  <dcterms:modified xsi:type="dcterms:W3CDTF">2018-01-17T13:39:00Z</dcterms:modified>
</cp:coreProperties>
</file>